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82471863"/>
    <w:p w14:paraId="6E7E6745" w14:textId="77777777" w:rsidR="002F0A51" w:rsidRPr="00CB4363" w:rsidRDefault="002F0A51" w:rsidP="002F0A51">
      <w:pPr>
        <w:tabs>
          <w:tab w:val="left" w:pos="4962"/>
        </w:tabs>
        <w:jc w:val="center"/>
        <w:rPr>
          <w:rFonts w:ascii="Arial" w:hAnsi="Arial" w:cs="Arial"/>
          <w:b/>
          <w:sz w:val="20"/>
          <w:szCs w:val="20"/>
        </w:rPr>
      </w:pPr>
      <w:r w:rsidRPr="00CB4363">
        <w:rPr>
          <w:rFonts w:ascii="Arial" w:hAnsi="Arial" w:cs="Arial"/>
          <w:sz w:val="20"/>
          <w:szCs w:val="20"/>
        </w:rPr>
        <w:object w:dxaOrig="3361" w:dyaOrig="3600" w14:anchorId="6C6EB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6.5pt" o:ole="" filled="t">
            <v:fill color2="black"/>
            <v:imagedata r:id="rId11" o:title=""/>
          </v:shape>
          <o:OLEObject Type="Embed" ProgID="MSDraw" ShapeID="_x0000_i1025" DrawAspect="Content" ObjectID="_1777790364" r:id="rId12"/>
        </w:object>
      </w:r>
    </w:p>
    <w:p w14:paraId="024CAA4C" w14:textId="77777777" w:rsidR="002F0A51" w:rsidRPr="00CB4363" w:rsidRDefault="002F0A51" w:rsidP="002F0A51">
      <w:pPr>
        <w:jc w:val="center"/>
        <w:rPr>
          <w:rFonts w:ascii="Arial" w:hAnsi="Arial" w:cs="Arial"/>
          <w:b/>
          <w:spacing w:val="20"/>
          <w:sz w:val="20"/>
          <w:szCs w:val="20"/>
        </w:rPr>
      </w:pPr>
      <w:r w:rsidRPr="00CB4363">
        <w:rPr>
          <w:rFonts w:ascii="Arial" w:hAnsi="Arial" w:cs="Arial"/>
          <w:b/>
          <w:sz w:val="20"/>
          <w:szCs w:val="20"/>
        </w:rPr>
        <w:t>MINISTÉRIO DA DEFESA</w:t>
      </w:r>
    </w:p>
    <w:p w14:paraId="522DCC32" w14:textId="77777777" w:rsidR="002F0A51" w:rsidRPr="00CB4363" w:rsidRDefault="002F0A51" w:rsidP="002F0A51">
      <w:pPr>
        <w:keepLines/>
        <w:jc w:val="center"/>
        <w:rPr>
          <w:rFonts w:ascii="Arial" w:hAnsi="Arial" w:cs="Arial"/>
          <w:b/>
          <w:sz w:val="20"/>
          <w:szCs w:val="20"/>
        </w:rPr>
      </w:pPr>
      <w:r w:rsidRPr="00CB4363">
        <w:rPr>
          <w:rFonts w:ascii="Arial" w:hAnsi="Arial" w:cs="Arial"/>
          <w:b/>
          <w:spacing w:val="20"/>
          <w:sz w:val="20"/>
          <w:szCs w:val="20"/>
        </w:rPr>
        <w:t>EXÉRCITO BRASILEIRO</w:t>
      </w:r>
    </w:p>
    <w:p w14:paraId="41FF88E9" w14:textId="77777777" w:rsidR="002F0A51" w:rsidRPr="00CB4363" w:rsidRDefault="002F0A51" w:rsidP="002F0A51">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CML       –        1ª RM</w:t>
      </w:r>
    </w:p>
    <w:p w14:paraId="03342EF6" w14:textId="77777777" w:rsidR="002F0A51" w:rsidRPr="00CB4363" w:rsidRDefault="002F0A51" w:rsidP="002F0A51">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BASE DE ADMINISTRAÇÃO E APOIO DA 1ª REGIÃO MILITAR</w:t>
      </w:r>
    </w:p>
    <w:p w14:paraId="03FA3E74" w14:textId="77777777" w:rsidR="002F0A51" w:rsidRPr="00CB4363" w:rsidRDefault="002F0A51" w:rsidP="002F0A51">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 xml:space="preserve"> (Cmdo QGMG/1934)</w:t>
      </w:r>
    </w:p>
    <w:p w14:paraId="266189CB" w14:textId="7AEB2DC7" w:rsidR="006D5FA5" w:rsidRPr="0020168A" w:rsidRDefault="006D5FA5" w:rsidP="003878C9">
      <w:pPr>
        <w:spacing w:before="120" w:afterLines="120" w:after="288" w:line="312" w:lineRule="auto"/>
        <w:jc w:val="center"/>
        <w:rPr>
          <w:rFonts w:ascii="Arial" w:hAnsi="Arial" w:cs="Arial"/>
          <w:bCs/>
          <w:color w:val="000000"/>
          <w:sz w:val="20"/>
          <w:szCs w:val="20"/>
        </w:rPr>
      </w:pPr>
      <w:commentRangeStart w:id="1"/>
      <w:r w:rsidRPr="0020168A">
        <w:rPr>
          <w:rFonts w:ascii="Arial" w:hAnsi="Arial" w:cs="Arial"/>
          <w:color w:val="000000"/>
          <w:sz w:val="20"/>
          <w:szCs w:val="20"/>
        </w:rPr>
        <w:t>(Processo Administrativo n</w:t>
      </w:r>
      <w:r w:rsidRPr="0020168A">
        <w:rPr>
          <w:rFonts w:ascii="Arial" w:hAnsi="Arial" w:cs="Arial"/>
          <w:bCs/>
          <w:color w:val="000000"/>
          <w:sz w:val="20"/>
          <w:szCs w:val="20"/>
        </w:rPr>
        <w:t>°</w:t>
      </w:r>
      <w:r w:rsidR="002F0A51" w:rsidRPr="002F0A51">
        <w:t xml:space="preserve"> </w:t>
      </w:r>
      <w:r w:rsidR="002F0A51" w:rsidRPr="002F0A51">
        <w:rPr>
          <w:rFonts w:ascii="Arial" w:hAnsi="Arial" w:cs="Arial"/>
          <w:bCs/>
          <w:color w:val="000000"/>
          <w:sz w:val="20"/>
          <w:szCs w:val="20"/>
        </w:rPr>
        <w:t>64006.001878/2024-71</w:t>
      </w:r>
      <w:r w:rsidRPr="0020168A">
        <w:rPr>
          <w:rFonts w:ascii="Arial" w:hAnsi="Arial" w:cs="Arial"/>
          <w:bCs/>
          <w:color w:val="000000"/>
          <w:sz w:val="20"/>
          <w:szCs w:val="20"/>
        </w:rPr>
        <w:t>)</w:t>
      </w:r>
      <w:commentRangeEnd w:id="1"/>
      <w:r w:rsidR="00020B6C">
        <w:rPr>
          <w:rStyle w:val="Refdecomentrio"/>
        </w:rPr>
        <w:commentReference w:id="1"/>
      </w:r>
    </w:p>
    <w:p w14:paraId="4037E0A8" w14:textId="77777777" w:rsidR="006D5FA5" w:rsidRPr="0020168A" w:rsidRDefault="006D5FA5" w:rsidP="00DA3EF1">
      <w:pPr>
        <w:pStyle w:val="Nivel01"/>
        <w:rPr>
          <w:rFonts w:eastAsia="Arial"/>
        </w:rPr>
      </w:pPr>
      <w:r w:rsidRPr="00DA3EF1">
        <w:t>CONDIÇÕES</w:t>
      </w:r>
      <w:r w:rsidRPr="0020168A">
        <w:t xml:space="preserve"> GERAIS DA CONTRATAÇÃO</w:t>
      </w:r>
    </w:p>
    <w:p w14:paraId="3AB27448" w14:textId="46FA0221" w:rsidR="006D5FA5" w:rsidRPr="002F0A51" w:rsidRDefault="006D5FA5" w:rsidP="0084242C">
      <w:pPr>
        <w:pStyle w:val="Nivel2"/>
        <w:rPr>
          <w:b/>
          <w:bCs/>
        </w:rPr>
      </w:pPr>
      <w:commentRangeStart w:id="2"/>
      <w:r w:rsidRPr="0020168A">
        <w:t>Aquisição de</w:t>
      </w:r>
      <w:r w:rsidR="002F0A51" w:rsidRPr="002F0A51">
        <w:rPr>
          <w:color w:val="FF0000"/>
        </w:rPr>
        <w:t xml:space="preserve"> </w:t>
      </w:r>
      <w:r w:rsidR="002F0A51" w:rsidRPr="002F0A51">
        <w:rPr>
          <w:color w:val="auto"/>
        </w:rPr>
        <w:t>equipamentos e insumos de informática não enquadrados como solução de TIC</w:t>
      </w:r>
      <w:r w:rsidRPr="0020168A">
        <w:rPr>
          <w:b/>
          <w:bCs/>
        </w:rPr>
        <w:t>,</w:t>
      </w:r>
      <w:r w:rsidRPr="0020168A">
        <w:t xml:space="preserve"> nos termos da tabela abaixo, conforme condições e exigências estabelecidas neste instrumento.</w:t>
      </w:r>
      <w:commentRangeEnd w:id="2"/>
      <w:r w:rsidR="00064413" w:rsidRPr="0020168A">
        <w:rPr>
          <w:rStyle w:val="Refdecomentrio"/>
          <w:color w:val="auto"/>
        </w:rPr>
        <w:commentReference w:id="2"/>
      </w:r>
    </w:p>
    <w:tbl>
      <w:tblPr>
        <w:tblW w:w="0" w:type="auto"/>
        <w:tblCellMar>
          <w:left w:w="70" w:type="dxa"/>
          <w:right w:w="70" w:type="dxa"/>
        </w:tblCellMar>
        <w:tblLook w:val="04A0" w:firstRow="1" w:lastRow="0" w:firstColumn="1" w:lastColumn="0" w:noHBand="0" w:noVBand="1"/>
      </w:tblPr>
      <w:tblGrid>
        <w:gridCol w:w="562"/>
        <w:gridCol w:w="993"/>
        <w:gridCol w:w="7654"/>
        <w:gridCol w:w="1155"/>
        <w:gridCol w:w="829"/>
        <w:gridCol w:w="696"/>
        <w:gridCol w:w="962"/>
        <w:gridCol w:w="1141"/>
      </w:tblGrid>
      <w:tr w:rsidR="00AD3735" w14:paraId="2A9AC4B3" w14:textId="77777777" w:rsidTr="0017033F">
        <w:trPr>
          <w:trHeight w:val="765"/>
          <w:tblHeader/>
        </w:trPr>
        <w:tc>
          <w:tcPr>
            <w:tcW w:w="562" w:type="dxa"/>
            <w:tcBorders>
              <w:top w:val="single" w:sz="4" w:space="0" w:color="auto"/>
              <w:left w:val="single" w:sz="4" w:space="0" w:color="auto"/>
              <w:bottom w:val="nil"/>
              <w:right w:val="nil"/>
            </w:tcBorders>
            <w:shd w:val="clear" w:color="C0C0C0" w:fill="A6A6A6"/>
            <w:vAlign w:val="center"/>
            <w:hideMark/>
          </w:tcPr>
          <w:p w14:paraId="4BBDB86A" w14:textId="02123B55" w:rsidR="00AD3735" w:rsidRDefault="00AD3735">
            <w:pPr>
              <w:jc w:val="center"/>
              <w:rPr>
                <w:rFonts w:ascii="Arial" w:hAnsi="Arial" w:cs="Arial"/>
                <w:b/>
                <w:bCs/>
                <w:color w:val="000000"/>
                <w:sz w:val="20"/>
                <w:szCs w:val="20"/>
              </w:rPr>
            </w:pPr>
            <w:r>
              <w:rPr>
                <w:rFonts w:ascii="Arial" w:hAnsi="Arial" w:cs="Arial"/>
                <w:b/>
                <w:bCs/>
                <w:color w:val="000000"/>
                <w:sz w:val="20"/>
                <w:szCs w:val="20"/>
              </w:rPr>
              <w:t>Nr Ord</w:t>
            </w:r>
          </w:p>
        </w:tc>
        <w:tc>
          <w:tcPr>
            <w:tcW w:w="993" w:type="dxa"/>
            <w:tcBorders>
              <w:top w:val="single" w:sz="4" w:space="0" w:color="auto"/>
              <w:left w:val="single" w:sz="4" w:space="0" w:color="auto"/>
              <w:bottom w:val="nil"/>
              <w:right w:val="single" w:sz="4" w:space="0" w:color="auto"/>
            </w:tcBorders>
            <w:shd w:val="clear" w:color="C0C0C0" w:fill="A6A6A6"/>
            <w:vAlign w:val="center"/>
            <w:hideMark/>
          </w:tcPr>
          <w:p w14:paraId="485885D0" w14:textId="77777777" w:rsidR="00AD3735" w:rsidRDefault="00AD3735">
            <w:pPr>
              <w:jc w:val="center"/>
              <w:rPr>
                <w:rFonts w:ascii="Arial" w:hAnsi="Arial" w:cs="Arial"/>
                <w:b/>
                <w:bCs/>
                <w:color w:val="000000"/>
                <w:sz w:val="20"/>
                <w:szCs w:val="20"/>
              </w:rPr>
            </w:pPr>
            <w:r>
              <w:rPr>
                <w:rFonts w:ascii="Arial" w:hAnsi="Arial" w:cs="Arial"/>
                <w:b/>
                <w:bCs/>
                <w:color w:val="000000"/>
                <w:sz w:val="20"/>
                <w:szCs w:val="20"/>
              </w:rPr>
              <w:t>CATMAT</w:t>
            </w:r>
          </w:p>
        </w:tc>
        <w:tc>
          <w:tcPr>
            <w:tcW w:w="7654" w:type="dxa"/>
            <w:tcBorders>
              <w:top w:val="single" w:sz="4" w:space="0" w:color="auto"/>
              <w:left w:val="nil"/>
              <w:bottom w:val="nil"/>
              <w:right w:val="single" w:sz="4" w:space="0" w:color="auto"/>
            </w:tcBorders>
            <w:shd w:val="clear" w:color="C0C0C0" w:fill="A6A6A6"/>
            <w:vAlign w:val="center"/>
            <w:hideMark/>
          </w:tcPr>
          <w:p w14:paraId="07124519" w14:textId="77777777" w:rsidR="00AD3735" w:rsidRDefault="00AD3735">
            <w:pPr>
              <w:jc w:val="center"/>
              <w:rPr>
                <w:rFonts w:ascii="Arial" w:hAnsi="Arial" w:cs="Arial"/>
                <w:b/>
                <w:bCs/>
                <w:color w:val="000000"/>
                <w:sz w:val="20"/>
                <w:szCs w:val="20"/>
              </w:rPr>
            </w:pPr>
            <w:r>
              <w:rPr>
                <w:rFonts w:ascii="Arial" w:hAnsi="Arial" w:cs="Arial"/>
                <w:b/>
                <w:bCs/>
                <w:color w:val="000000"/>
                <w:sz w:val="20"/>
                <w:szCs w:val="20"/>
              </w:rPr>
              <w:t>DESCRIÇÃO/</w:t>
            </w:r>
            <w:r>
              <w:rPr>
                <w:rFonts w:ascii="Arial" w:hAnsi="Arial" w:cs="Arial"/>
                <w:b/>
                <w:bCs/>
                <w:color w:val="000000"/>
                <w:sz w:val="20"/>
                <w:szCs w:val="20"/>
              </w:rPr>
              <w:br/>
              <w:t>ESPECIFICAÇÃO</w:t>
            </w:r>
          </w:p>
        </w:tc>
        <w:tc>
          <w:tcPr>
            <w:tcW w:w="1155" w:type="dxa"/>
            <w:tcBorders>
              <w:top w:val="single" w:sz="4" w:space="0" w:color="auto"/>
              <w:left w:val="nil"/>
              <w:bottom w:val="nil"/>
              <w:right w:val="single" w:sz="4" w:space="0" w:color="auto"/>
            </w:tcBorders>
            <w:shd w:val="clear" w:color="C0C0C0" w:fill="A6A6A6"/>
            <w:vAlign w:val="center"/>
            <w:hideMark/>
          </w:tcPr>
          <w:p w14:paraId="62F17CF6" w14:textId="77777777" w:rsidR="00AD3735" w:rsidRDefault="00AD3735">
            <w:pPr>
              <w:jc w:val="center"/>
              <w:rPr>
                <w:rFonts w:ascii="Arial" w:hAnsi="Arial" w:cs="Arial"/>
                <w:b/>
                <w:bCs/>
                <w:color w:val="000000"/>
                <w:sz w:val="20"/>
                <w:szCs w:val="20"/>
              </w:rPr>
            </w:pPr>
            <w:r>
              <w:rPr>
                <w:rFonts w:ascii="Arial" w:hAnsi="Arial" w:cs="Arial"/>
                <w:b/>
                <w:bCs/>
                <w:color w:val="000000"/>
                <w:sz w:val="20"/>
                <w:szCs w:val="20"/>
              </w:rPr>
              <w:t>UNIDADE</w:t>
            </w:r>
            <w:r>
              <w:rPr>
                <w:rFonts w:ascii="Arial" w:hAnsi="Arial" w:cs="Arial"/>
                <w:b/>
                <w:bCs/>
                <w:color w:val="000000"/>
                <w:sz w:val="20"/>
                <w:szCs w:val="20"/>
              </w:rPr>
              <w:br/>
              <w:t>DE</w:t>
            </w:r>
            <w:r>
              <w:rPr>
                <w:rFonts w:ascii="Arial" w:hAnsi="Arial" w:cs="Arial"/>
                <w:b/>
                <w:bCs/>
                <w:color w:val="000000"/>
                <w:sz w:val="20"/>
                <w:szCs w:val="20"/>
              </w:rPr>
              <w:br/>
              <w:t>MEDIDA</w:t>
            </w:r>
          </w:p>
        </w:tc>
        <w:tc>
          <w:tcPr>
            <w:tcW w:w="829" w:type="dxa"/>
            <w:tcBorders>
              <w:top w:val="single" w:sz="4" w:space="0" w:color="auto"/>
              <w:left w:val="nil"/>
              <w:bottom w:val="single" w:sz="4" w:space="0" w:color="auto"/>
              <w:right w:val="single" w:sz="4" w:space="0" w:color="auto"/>
            </w:tcBorders>
            <w:shd w:val="clear" w:color="C0C0C0" w:fill="A6A6A6"/>
            <w:vAlign w:val="center"/>
            <w:hideMark/>
          </w:tcPr>
          <w:p w14:paraId="6553E200" w14:textId="77777777" w:rsidR="00AD3735" w:rsidRDefault="00AD3735">
            <w:pPr>
              <w:jc w:val="center"/>
              <w:rPr>
                <w:rFonts w:ascii="Arial" w:hAnsi="Arial" w:cs="Arial"/>
                <w:b/>
                <w:bCs/>
                <w:color w:val="000000"/>
                <w:sz w:val="20"/>
                <w:szCs w:val="20"/>
              </w:rPr>
            </w:pPr>
            <w:r>
              <w:rPr>
                <w:rFonts w:ascii="Arial" w:hAnsi="Arial" w:cs="Arial"/>
                <w:b/>
                <w:bCs/>
                <w:color w:val="000000"/>
                <w:sz w:val="20"/>
                <w:szCs w:val="20"/>
              </w:rPr>
              <w:t>Qtd Minima</w:t>
            </w:r>
          </w:p>
        </w:tc>
        <w:tc>
          <w:tcPr>
            <w:tcW w:w="696" w:type="dxa"/>
            <w:tcBorders>
              <w:top w:val="single" w:sz="4" w:space="0" w:color="auto"/>
              <w:left w:val="nil"/>
              <w:bottom w:val="single" w:sz="4" w:space="0" w:color="auto"/>
              <w:right w:val="single" w:sz="4" w:space="0" w:color="auto"/>
            </w:tcBorders>
            <w:shd w:val="clear" w:color="C0C0C0" w:fill="A6A6A6"/>
            <w:vAlign w:val="center"/>
            <w:hideMark/>
          </w:tcPr>
          <w:p w14:paraId="5E1204C5" w14:textId="77777777" w:rsidR="00AD3735" w:rsidRDefault="00AD3735">
            <w:pPr>
              <w:jc w:val="center"/>
              <w:rPr>
                <w:rFonts w:ascii="Arial" w:hAnsi="Arial" w:cs="Arial"/>
                <w:b/>
                <w:bCs/>
                <w:color w:val="000000"/>
                <w:sz w:val="20"/>
                <w:szCs w:val="20"/>
              </w:rPr>
            </w:pPr>
            <w:r>
              <w:rPr>
                <w:rFonts w:ascii="Arial" w:hAnsi="Arial" w:cs="Arial"/>
                <w:b/>
                <w:bCs/>
                <w:color w:val="000000"/>
                <w:sz w:val="20"/>
                <w:szCs w:val="20"/>
              </w:rPr>
              <w:t>Qtd total</w:t>
            </w:r>
          </w:p>
        </w:tc>
        <w:tc>
          <w:tcPr>
            <w:tcW w:w="962" w:type="dxa"/>
            <w:tcBorders>
              <w:top w:val="single" w:sz="4" w:space="0" w:color="auto"/>
              <w:left w:val="nil"/>
              <w:bottom w:val="single" w:sz="4" w:space="0" w:color="auto"/>
              <w:right w:val="single" w:sz="4" w:space="0" w:color="auto"/>
            </w:tcBorders>
            <w:shd w:val="clear" w:color="C0C0C0" w:fill="A6A6A6"/>
            <w:vAlign w:val="center"/>
            <w:hideMark/>
          </w:tcPr>
          <w:p w14:paraId="744DF38C" w14:textId="77777777" w:rsidR="00AD3735" w:rsidRDefault="00AD3735">
            <w:pPr>
              <w:jc w:val="center"/>
              <w:rPr>
                <w:rFonts w:ascii="Arial" w:hAnsi="Arial" w:cs="Arial"/>
                <w:b/>
                <w:bCs/>
                <w:color w:val="000000"/>
                <w:sz w:val="20"/>
                <w:szCs w:val="20"/>
              </w:rPr>
            </w:pPr>
            <w:r>
              <w:rPr>
                <w:rFonts w:ascii="Arial" w:hAnsi="Arial" w:cs="Arial"/>
                <w:b/>
                <w:bCs/>
                <w:color w:val="000000"/>
                <w:sz w:val="20"/>
                <w:szCs w:val="20"/>
              </w:rPr>
              <w:t>Valor Unitário</w:t>
            </w:r>
          </w:p>
        </w:tc>
        <w:tc>
          <w:tcPr>
            <w:tcW w:w="1141" w:type="dxa"/>
            <w:tcBorders>
              <w:top w:val="single" w:sz="4" w:space="0" w:color="auto"/>
              <w:left w:val="nil"/>
              <w:bottom w:val="single" w:sz="4" w:space="0" w:color="auto"/>
              <w:right w:val="single" w:sz="4" w:space="0" w:color="auto"/>
            </w:tcBorders>
            <w:shd w:val="clear" w:color="C0C0C0" w:fill="A6A6A6"/>
            <w:vAlign w:val="center"/>
            <w:hideMark/>
          </w:tcPr>
          <w:p w14:paraId="6D8536F8" w14:textId="77777777" w:rsidR="00AD3735" w:rsidRDefault="00AD3735">
            <w:pPr>
              <w:jc w:val="center"/>
              <w:rPr>
                <w:rFonts w:ascii="Arial" w:hAnsi="Arial" w:cs="Arial"/>
                <w:b/>
                <w:bCs/>
                <w:color w:val="000000"/>
                <w:sz w:val="20"/>
                <w:szCs w:val="20"/>
              </w:rPr>
            </w:pPr>
            <w:r>
              <w:rPr>
                <w:rFonts w:ascii="Arial" w:hAnsi="Arial" w:cs="Arial"/>
                <w:b/>
                <w:bCs/>
                <w:color w:val="000000"/>
                <w:sz w:val="20"/>
                <w:szCs w:val="20"/>
              </w:rPr>
              <w:t>Valor Total</w:t>
            </w:r>
          </w:p>
        </w:tc>
      </w:tr>
      <w:tr w:rsidR="00AD3735" w14:paraId="020CB0A3" w14:textId="77777777" w:rsidTr="0017033F">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8E391"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4EBEF1AA"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606881</w:t>
            </w:r>
          </w:p>
        </w:tc>
        <w:tc>
          <w:tcPr>
            <w:tcW w:w="7654" w:type="dxa"/>
            <w:tcBorders>
              <w:top w:val="single" w:sz="4" w:space="0" w:color="auto"/>
              <w:left w:val="nil"/>
              <w:bottom w:val="single" w:sz="4" w:space="0" w:color="auto"/>
              <w:right w:val="single" w:sz="4" w:space="0" w:color="auto"/>
            </w:tcBorders>
            <w:shd w:val="clear" w:color="auto" w:fill="auto"/>
            <w:vAlign w:val="center"/>
            <w:hideMark/>
          </w:tcPr>
          <w:p w14:paraId="0E49E53F" w14:textId="77777777" w:rsidR="00AD3735" w:rsidRDefault="00AD3735">
            <w:pPr>
              <w:jc w:val="both"/>
              <w:rPr>
                <w:rFonts w:ascii="Arial" w:hAnsi="Arial" w:cs="Arial"/>
                <w:color w:val="333333"/>
                <w:sz w:val="20"/>
                <w:szCs w:val="20"/>
              </w:rPr>
            </w:pPr>
            <w:r>
              <w:rPr>
                <w:rFonts w:ascii="Arial" w:hAnsi="Arial" w:cs="Arial"/>
                <w:color w:val="333333"/>
                <w:sz w:val="20"/>
                <w:szCs w:val="20"/>
              </w:rPr>
              <w:t>Disco magnético, memória:1 tb., aplicação:armazenamento dados, modelo:externo/portátil, tipo hard disk, características adicionais:cabo usb 3.0, interface:usb 3.0</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14:paraId="43EC573C"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CDB7F39"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6BAC9328" w14:textId="77777777" w:rsidR="00AD3735" w:rsidRDefault="00AD3735">
            <w:pPr>
              <w:jc w:val="center"/>
              <w:rPr>
                <w:rFonts w:ascii="Arial" w:hAnsi="Arial" w:cs="Arial"/>
                <w:color w:val="000000"/>
                <w:sz w:val="20"/>
                <w:szCs w:val="20"/>
              </w:rPr>
            </w:pPr>
            <w:r>
              <w:rPr>
                <w:rFonts w:ascii="Arial" w:hAnsi="Arial" w:cs="Arial"/>
                <w:color w:val="000000"/>
                <w:sz w:val="20"/>
                <w:szCs w:val="20"/>
              </w:rPr>
              <w:t>4</w:t>
            </w:r>
          </w:p>
        </w:tc>
        <w:tc>
          <w:tcPr>
            <w:tcW w:w="962" w:type="dxa"/>
            <w:tcBorders>
              <w:top w:val="nil"/>
              <w:left w:val="nil"/>
              <w:bottom w:val="single" w:sz="4" w:space="0" w:color="auto"/>
              <w:right w:val="single" w:sz="4" w:space="0" w:color="auto"/>
            </w:tcBorders>
            <w:shd w:val="clear" w:color="auto" w:fill="auto"/>
            <w:noWrap/>
            <w:vAlign w:val="center"/>
            <w:hideMark/>
          </w:tcPr>
          <w:p w14:paraId="5696637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290,00 </w:t>
            </w:r>
          </w:p>
        </w:tc>
        <w:tc>
          <w:tcPr>
            <w:tcW w:w="1141" w:type="dxa"/>
            <w:tcBorders>
              <w:top w:val="nil"/>
              <w:left w:val="nil"/>
              <w:bottom w:val="single" w:sz="4" w:space="0" w:color="auto"/>
              <w:right w:val="single" w:sz="4" w:space="0" w:color="auto"/>
            </w:tcBorders>
            <w:shd w:val="clear" w:color="auto" w:fill="auto"/>
            <w:noWrap/>
            <w:vAlign w:val="center"/>
            <w:hideMark/>
          </w:tcPr>
          <w:p w14:paraId="627372E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1.160,00 </w:t>
            </w:r>
          </w:p>
        </w:tc>
      </w:tr>
      <w:tr w:rsidR="00AD3735" w14:paraId="4A3F7C6E"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BE11C15" w14:textId="77777777" w:rsidR="00AD3735" w:rsidRDefault="00AD3735">
            <w:pPr>
              <w:jc w:val="center"/>
              <w:rPr>
                <w:rFonts w:ascii="Arial" w:hAnsi="Arial" w:cs="Arial"/>
                <w:color w:val="000000"/>
                <w:sz w:val="20"/>
                <w:szCs w:val="20"/>
              </w:rPr>
            </w:pPr>
            <w:r>
              <w:rPr>
                <w:rFonts w:ascii="Arial" w:hAnsi="Arial" w:cs="Arial"/>
                <w:color w:val="000000"/>
                <w:sz w:val="20"/>
                <w:szCs w:val="20"/>
              </w:rPr>
              <w:t>2</w:t>
            </w:r>
          </w:p>
        </w:tc>
        <w:tc>
          <w:tcPr>
            <w:tcW w:w="993" w:type="dxa"/>
            <w:tcBorders>
              <w:top w:val="nil"/>
              <w:left w:val="nil"/>
              <w:bottom w:val="single" w:sz="4" w:space="0" w:color="auto"/>
              <w:right w:val="single" w:sz="4" w:space="0" w:color="auto"/>
            </w:tcBorders>
            <w:shd w:val="clear" w:color="auto" w:fill="auto"/>
            <w:noWrap/>
            <w:vAlign w:val="center"/>
            <w:hideMark/>
          </w:tcPr>
          <w:p w14:paraId="45FF1451"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479105</w:t>
            </w:r>
          </w:p>
        </w:tc>
        <w:tc>
          <w:tcPr>
            <w:tcW w:w="7654" w:type="dxa"/>
            <w:tcBorders>
              <w:top w:val="nil"/>
              <w:left w:val="nil"/>
              <w:bottom w:val="single" w:sz="4" w:space="0" w:color="auto"/>
              <w:right w:val="single" w:sz="4" w:space="0" w:color="auto"/>
            </w:tcBorders>
            <w:shd w:val="clear" w:color="auto" w:fill="auto"/>
            <w:vAlign w:val="center"/>
            <w:hideMark/>
          </w:tcPr>
          <w:p w14:paraId="65BB4B3A" w14:textId="77777777" w:rsidR="00AD3735" w:rsidRDefault="00AD3735">
            <w:pPr>
              <w:jc w:val="both"/>
              <w:rPr>
                <w:rFonts w:ascii="Arial" w:hAnsi="Arial" w:cs="Arial"/>
                <w:color w:val="333333"/>
                <w:sz w:val="20"/>
                <w:szCs w:val="20"/>
              </w:rPr>
            </w:pPr>
            <w:r>
              <w:rPr>
                <w:rFonts w:ascii="Arial" w:hAnsi="Arial" w:cs="Arial"/>
                <w:color w:val="333333"/>
                <w:sz w:val="20"/>
                <w:szCs w:val="20"/>
              </w:rPr>
              <w:t>Memória portátil microcomputador, capacidade memória:2 tb., interface:conexão usb 3.0, aplicação:armazenamento de dados, tipo:hard disk externo</w:t>
            </w:r>
          </w:p>
        </w:tc>
        <w:tc>
          <w:tcPr>
            <w:tcW w:w="1155" w:type="dxa"/>
            <w:tcBorders>
              <w:top w:val="nil"/>
              <w:left w:val="nil"/>
              <w:bottom w:val="single" w:sz="4" w:space="0" w:color="auto"/>
              <w:right w:val="single" w:sz="4" w:space="0" w:color="auto"/>
            </w:tcBorders>
            <w:shd w:val="clear" w:color="auto" w:fill="auto"/>
            <w:vAlign w:val="center"/>
            <w:hideMark/>
          </w:tcPr>
          <w:p w14:paraId="5D41EE2C"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455B02B9"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4F844CE5" w14:textId="77777777" w:rsidR="00AD3735" w:rsidRDefault="00AD3735">
            <w:pPr>
              <w:jc w:val="center"/>
              <w:rPr>
                <w:rFonts w:ascii="Arial" w:hAnsi="Arial" w:cs="Arial"/>
                <w:color w:val="000000"/>
                <w:sz w:val="20"/>
                <w:szCs w:val="20"/>
              </w:rPr>
            </w:pPr>
            <w:r>
              <w:rPr>
                <w:rFonts w:ascii="Arial" w:hAnsi="Arial" w:cs="Arial"/>
                <w:color w:val="000000"/>
                <w:sz w:val="20"/>
                <w:szCs w:val="20"/>
              </w:rPr>
              <w:t>2</w:t>
            </w:r>
          </w:p>
        </w:tc>
        <w:tc>
          <w:tcPr>
            <w:tcW w:w="962" w:type="dxa"/>
            <w:tcBorders>
              <w:top w:val="nil"/>
              <w:left w:val="nil"/>
              <w:bottom w:val="single" w:sz="4" w:space="0" w:color="auto"/>
              <w:right w:val="single" w:sz="4" w:space="0" w:color="auto"/>
            </w:tcBorders>
            <w:shd w:val="clear" w:color="auto" w:fill="auto"/>
            <w:noWrap/>
            <w:vAlign w:val="center"/>
            <w:hideMark/>
          </w:tcPr>
          <w:p w14:paraId="2186D74B"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477,50 </w:t>
            </w:r>
          </w:p>
        </w:tc>
        <w:tc>
          <w:tcPr>
            <w:tcW w:w="1141" w:type="dxa"/>
            <w:tcBorders>
              <w:top w:val="nil"/>
              <w:left w:val="nil"/>
              <w:bottom w:val="single" w:sz="4" w:space="0" w:color="auto"/>
              <w:right w:val="single" w:sz="4" w:space="0" w:color="auto"/>
            </w:tcBorders>
            <w:shd w:val="clear" w:color="auto" w:fill="auto"/>
            <w:noWrap/>
            <w:vAlign w:val="center"/>
            <w:hideMark/>
          </w:tcPr>
          <w:p w14:paraId="4CFE138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955,00 </w:t>
            </w:r>
          </w:p>
        </w:tc>
      </w:tr>
      <w:tr w:rsidR="00AD3735" w14:paraId="0D955FDB"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955AC3" w14:textId="77777777" w:rsidR="00AD3735" w:rsidRDefault="00AD3735">
            <w:pPr>
              <w:jc w:val="center"/>
              <w:rPr>
                <w:rFonts w:ascii="Arial" w:hAnsi="Arial" w:cs="Arial"/>
                <w:color w:val="000000"/>
                <w:sz w:val="20"/>
                <w:szCs w:val="20"/>
              </w:rPr>
            </w:pPr>
            <w:r>
              <w:rPr>
                <w:rFonts w:ascii="Arial" w:hAnsi="Arial" w:cs="Arial"/>
                <w:color w:val="00000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7CC7934C"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399778</w:t>
            </w:r>
          </w:p>
        </w:tc>
        <w:tc>
          <w:tcPr>
            <w:tcW w:w="7654" w:type="dxa"/>
            <w:tcBorders>
              <w:top w:val="nil"/>
              <w:left w:val="nil"/>
              <w:bottom w:val="single" w:sz="4" w:space="0" w:color="auto"/>
              <w:right w:val="single" w:sz="4" w:space="0" w:color="auto"/>
            </w:tcBorders>
            <w:shd w:val="clear" w:color="auto" w:fill="auto"/>
            <w:vAlign w:val="center"/>
            <w:hideMark/>
          </w:tcPr>
          <w:p w14:paraId="0F6ACE1D" w14:textId="77777777" w:rsidR="00AD3735" w:rsidRDefault="00AD3735">
            <w:pPr>
              <w:jc w:val="both"/>
              <w:rPr>
                <w:rFonts w:ascii="Arial" w:hAnsi="Arial" w:cs="Arial"/>
                <w:color w:val="333333"/>
                <w:sz w:val="20"/>
                <w:szCs w:val="20"/>
              </w:rPr>
            </w:pPr>
            <w:r>
              <w:rPr>
                <w:rFonts w:ascii="Arial" w:hAnsi="Arial" w:cs="Arial"/>
                <w:color w:val="333333"/>
                <w:sz w:val="20"/>
                <w:szCs w:val="20"/>
              </w:rPr>
              <w:t>Disco magnético, memória:4 tb., aplicação:armazenamento dados, características adicionais:cabo usb 3.0 de, interface:usb 3.0, tipo:externo expansion, tipo hard disk</w:t>
            </w:r>
          </w:p>
        </w:tc>
        <w:tc>
          <w:tcPr>
            <w:tcW w:w="1155" w:type="dxa"/>
            <w:tcBorders>
              <w:top w:val="nil"/>
              <w:left w:val="nil"/>
              <w:bottom w:val="single" w:sz="4" w:space="0" w:color="auto"/>
              <w:right w:val="single" w:sz="4" w:space="0" w:color="auto"/>
            </w:tcBorders>
            <w:shd w:val="clear" w:color="auto" w:fill="auto"/>
            <w:vAlign w:val="center"/>
            <w:hideMark/>
          </w:tcPr>
          <w:p w14:paraId="0F71E529"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1F711955"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50E597A3" w14:textId="77777777" w:rsidR="00AD3735" w:rsidRDefault="00AD3735">
            <w:pPr>
              <w:jc w:val="center"/>
              <w:rPr>
                <w:rFonts w:ascii="Arial" w:hAnsi="Arial" w:cs="Arial"/>
                <w:color w:val="000000"/>
                <w:sz w:val="20"/>
                <w:szCs w:val="20"/>
              </w:rPr>
            </w:pPr>
            <w:r>
              <w:rPr>
                <w:rFonts w:ascii="Arial" w:hAnsi="Arial" w:cs="Arial"/>
                <w:color w:val="000000"/>
                <w:sz w:val="20"/>
                <w:szCs w:val="20"/>
              </w:rPr>
              <w:t>4</w:t>
            </w:r>
          </w:p>
        </w:tc>
        <w:tc>
          <w:tcPr>
            <w:tcW w:w="962" w:type="dxa"/>
            <w:tcBorders>
              <w:top w:val="nil"/>
              <w:left w:val="nil"/>
              <w:bottom w:val="single" w:sz="4" w:space="0" w:color="auto"/>
              <w:right w:val="single" w:sz="4" w:space="0" w:color="auto"/>
            </w:tcBorders>
            <w:shd w:val="clear" w:color="auto" w:fill="auto"/>
            <w:noWrap/>
            <w:vAlign w:val="center"/>
            <w:hideMark/>
          </w:tcPr>
          <w:p w14:paraId="12F7262E"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917,80 </w:t>
            </w:r>
          </w:p>
        </w:tc>
        <w:tc>
          <w:tcPr>
            <w:tcW w:w="1141" w:type="dxa"/>
            <w:tcBorders>
              <w:top w:val="nil"/>
              <w:left w:val="nil"/>
              <w:bottom w:val="single" w:sz="4" w:space="0" w:color="auto"/>
              <w:right w:val="single" w:sz="4" w:space="0" w:color="auto"/>
            </w:tcBorders>
            <w:shd w:val="clear" w:color="auto" w:fill="auto"/>
            <w:noWrap/>
            <w:vAlign w:val="center"/>
            <w:hideMark/>
          </w:tcPr>
          <w:p w14:paraId="2E805DA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3.671,20 </w:t>
            </w:r>
          </w:p>
        </w:tc>
      </w:tr>
      <w:tr w:rsidR="00AD3735" w14:paraId="57EF21D3"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8B1107" w14:textId="77777777" w:rsidR="00AD3735" w:rsidRDefault="00AD3735">
            <w:pPr>
              <w:jc w:val="center"/>
              <w:rPr>
                <w:rFonts w:ascii="Arial" w:hAnsi="Arial" w:cs="Arial"/>
                <w:color w:val="000000"/>
                <w:sz w:val="20"/>
                <w:szCs w:val="20"/>
              </w:rPr>
            </w:pPr>
            <w:r>
              <w:rPr>
                <w:rFonts w:ascii="Arial" w:hAnsi="Arial" w:cs="Arial"/>
                <w:color w:val="000000"/>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14:paraId="1019036D"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602371</w:t>
            </w:r>
          </w:p>
        </w:tc>
        <w:tc>
          <w:tcPr>
            <w:tcW w:w="7654" w:type="dxa"/>
            <w:tcBorders>
              <w:top w:val="nil"/>
              <w:left w:val="nil"/>
              <w:bottom w:val="single" w:sz="4" w:space="0" w:color="auto"/>
              <w:right w:val="single" w:sz="4" w:space="0" w:color="auto"/>
            </w:tcBorders>
            <w:shd w:val="clear" w:color="auto" w:fill="auto"/>
            <w:vAlign w:val="center"/>
            <w:hideMark/>
          </w:tcPr>
          <w:p w14:paraId="2AA523D2" w14:textId="77777777" w:rsidR="00AD3735" w:rsidRDefault="00AD3735">
            <w:pPr>
              <w:jc w:val="both"/>
              <w:rPr>
                <w:rFonts w:ascii="Arial" w:hAnsi="Arial" w:cs="Arial"/>
                <w:color w:val="333333"/>
                <w:sz w:val="20"/>
                <w:szCs w:val="20"/>
              </w:rPr>
            </w:pPr>
            <w:r>
              <w:rPr>
                <w:rFonts w:ascii="Arial" w:hAnsi="Arial" w:cs="Arial"/>
                <w:color w:val="333333"/>
                <w:sz w:val="20"/>
                <w:szCs w:val="20"/>
              </w:rPr>
              <w:t>Disco magnético, memória:6 tb., aplicação:armazenamento dados, tipo hard disk, características adicionais:cabo usb 3.0, interface:usb 3.0, tipo:externo expansion</w:t>
            </w:r>
          </w:p>
        </w:tc>
        <w:tc>
          <w:tcPr>
            <w:tcW w:w="1155" w:type="dxa"/>
            <w:tcBorders>
              <w:top w:val="nil"/>
              <w:left w:val="nil"/>
              <w:bottom w:val="single" w:sz="4" w:space="0" w:color="auto"/>
              <w:right w:val="single" w:sz="4" w:space="0" w:color="auto"/>
            </w:tcBorders>
            <w:shd w:val="clear" w:color="auto" w:fill="auto"/>
            <w:vAlign w:val="center"/>
            <w:hideMark/>
          </w:tcPr>
          <w:p w14:paraId="1C5C041C"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11167154"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25065E1D" w14:textId="77777777" w:rsidR="00AD3735" w:rsidRDefault="00AD3735">
            <w:pPr>
              <w:jc w:val="center"/>
              <w:rPr>
                <w:rFonts w:ascii="Arial" w:hAnsi="Arial" w:cs="Arial"/>
                <w:color w:val="000000"/>
                <w:sz w:val="20"/>
                <w:szCs w:val="20"/>
              </w:rPr>
            </w:pPr>
            <w:r>
              <w:rPr>
                <w:rFonts w:ascii="Arial" w:hAnsi="Arial" w:cs="Arial"/>
                <w:color w:val="000000"/>
                <w:sz w:val="20"/>
                <w:szCs w:val="20"/>
              </w:rPr>
              <w:t>4</w:t>
            </w:r>
          </w:p>
        </w:tc>
        <w:tc>
          <w:tcPr>
            <w:tcW w:w="962" w:type="dxa"/>
            <w:tcBorders>
              <w:top w:val="nil"/>
              <w:left w:val="nil"/>
              <w:bottom w:val="single" w:sz="4" w:space="0" w:color="auto"/>
              <w:right w:val="single" w:sz="4" w:space="0" w:color="auto"/>
            </w:tcBorders>
            <w:shd w:val="clear" w:color="auto" w:fill="auto"/>
            <w:noWrap/>
            <w:vAlign w:val="center"/>
            <w:hideMark/>
          </w:tcPr>
          <w:p w14:paraId="005533A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1.443,74 </w:t>
            </w:r>
          </w:p>
        </w:tc>
        <w:tc>
          <w:tcPr>
            <w:tcW w:w="1141" w:type="dxa"/>
            <w:tcBorders>
              <w:top w:val="nil"/>
              <w:left w:val="nil"/>
              <w:bottom w:val="single" w:sz="4" w:space="0" w:color="auto"/>
              <w:right w:val="single" w:sz="4" w:space="0" w:color="auto"/>
            </w:tcBorders>
            <w:shd w:val="clear" w:color="auto" w:fill="auto"/>
            <w:noWrap/>
            <w:vAlign w:val="center"/>
            <w:hideMark/>
          </w:tcPr>
          <w:p w14:paraId="5FABABE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5.774,96 </w:t>
            </w:r>
          </w:p>
        </w:tc>
      </w:tr>
      <w:tr w:rsidR="00AD3735" w14:paraId="4ACEC451"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F18082" w14:textId="77777777" w:rsidR="00AD3735" w:rsidRDefault="00AD3735">
            <w:pPr>
              <w:jc w:val="center"/>
              <w:rPr>
                <w:rFonts w:ascii="Arial" w:hAnsi="Arial" w:cs="Arial"/>
                <w:color w:val="000000"/>
                <w:sz w:val="20"/>
                <w:szCs w:val="20"/>
              </w:rPr>
            </w:pPr>
            <w:r>
              <w:rPr>
                <w:rFonts w:ascii="Arial" w:hAnsi="Arial" w:cs="Arial"/>
                <w:color w:val="000000"/>
                <w:sz w:val="20"/>
                <w:szCs w:val="20"/>
              </w:rPr>
              <w:t>5</w:t>
            </w:r>
          </w:p>
        </w:tc>
        <w:tc>
          <w:tcPr>
            <w:tcW w:w="993" w:type="dxa"/>
            <w:tcBorders>
              <w:top w:val="nil"/>
              <w:left w:val="nil"/>
              <w:bottom w:val="single" w:sz="4" w:space="0" w:color="auto"/>
              <w:right w:val="single" w:sz="4" w:space="0" w:color="auto"/>
            </w:tcBorders>
            <w:shd w:val="clear" w:color="auto" w:fill="auto"/>
            <w:noWrap/>
            <w:vAlign w:val="center"/>
            <w:hideMark/>
          </w:tcPr>
          <w:p w14:paraId="4ADBC16F"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439348</w:t>
            </w:r>
          </w:p>
        </w:tc>
        <w:tc>
          <w:tcPr>
            <w:tcW w:w="7654" w:type="dxa"/>
            <w:tcBorders>
              <w:top w:val="nil"/>
              <w:left w:val="nil"/>
              <w:bottom w:val="single" w:sz="4" w:space="0" w:color="auto"/>
              <w:right w:val="single" w:sz="4" w:space="0" w:color="auto"/>
            </w:tcBorders>
            <w:shd w:val="clear" w:color="auto" w:fill="auto"/>
            <w:vAlign w:val="center"/>
            <w:hideMark/>
          </w:tcPr>
          <w:p w14:paraId="6B98A0BB" w14:textId="77777777" w:rsidR="00AD3735" w:rsidRDefault="00AD3735">
            <w:pPr>
              <w:jc w:val="both"/>
              <w:rPr>
                <w:rFonts w:ascii="Arial" w:hAnsi="Arial" w:cs="Arial"/>
                <w:color w:val="333333"/>
                <w:sz w:val="20"/>
                <w:szCs w:val="20"/>
              </w:rPr>
            </w:pPr>
            <w:r>
              <w:rPr>
                <w:rFonts w:ascii="Arial" w:hAnsi="Arial" w:cs="Arial"/>
                <w:color w:val="333333"/>
                <w:sz w:val="20"/>
                <w:szCs w:val="20"/>
              </w:rPr>
              <w:t>Unidade disco, tipo:disco ssd, sata iii, capacidade:250 gb, tamanho:2,5 pol, velocidade: leitura 560mb/s ou superior / gravação 530mb/s ou superior. Expectativa de vida útil: 1,5 milhão de horas mtb ou mais</w:t>
            </w:r>
          </w:p>
        </w:tc>
        <w:tc>
          <w:tcPr>
            <w:tcW w:w="1155" w:type="dxa"/>
            <w:tcBorders>
              <w:top w:val="nil"/>
              <w:left w:val="nil"/>
              <w:bottom w:val="single" w:sz="4" w:space="0" w:color="auto"/>
              <w:right w:val="single" w:sz="4" w:space="0" w:color="auto"/>
            </w:tcBorders>
            <w:shd w:val="clear" w:color="auto" w:fill="auto"/>
            <w:vAlign w:val="center"/>
            <w:hideMark/>
          </w:tcPr>
          <w:p w14:paraId="595B04DE"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13D697E3"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2A8D8DC6"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1384A22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264,95 </w:t>
            </w:r>
          </w:p>
        </w:tc>
        <w:tc>
          <w:tcPr>
            <w:tcW w:w="1141" w:type="dxa"/>
            <w:tcBorders>
              <w:top w:val="nil"/>
              <w:left w:val="nil"/>
              <w:bottom w:val="single" w:sz="4" w:space="0" w:color="auto"/>
              <w:right w:val="single" w:sz="4" w:space="0" w:color="auto"/>
            </w:tcBorders>
            <w:shd w:val="clear" w:color="auto" w:fill="auto"/>
            <w:noWrap/>
            <w:vAlign w:val="center"/>
            <w:hideMark/>
          </w:tcPr>
          <w:p w14:paraId="624D4EA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7.948,50 </w:t>
            </w:r>
          </w:p>
        </w:tc>
      </w:tr>
      <w:tr w:rsidR="00AD3735" w14:paraId="6B569DC7"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4E2FFD" w14:textId="77777777" w:rsidR="00AD3735" w:rsidRDefault="00AD3735">
            <w:pPr>
              <w:jc w:val="center"/>
              <w:rPr>
                <w:rFonts w:ascii="Arial" w:hAnsi="Arial" w:cs="Arial"/>
                <w:color w:val="000000"/>
                <w:sz w:val="20"/>
                <w:szCs w:val="20"/>
              </w:rPr>
            </w:pPr>
            <w:r>
              <w:rPr>
                <w:rFonts w:ascii="Arial" w:hAnsi="Arial" w:cs="Arial"/>
                <w:color w:val="000000"/>
                <w:sz w:val="20"/>
                <w:szCs w:val="20"/>
              </w:rPr>
              <w:t>6</w:t>
            </w:r>
          </w:p>
        </w:tc>
        <w:tc>
          <w:tcPr>
            <w:tcW w:w="993" w:type="dxa"/>
            <w:tcBorders>
              <w:top w:val="nil"/>
              <w:left w:val="nil"/>
              <w:bottom w:val="single" w:sz="4" w:space="0" w:color="auto"/>
              <w:right w:val="single" w:sz="4" w:space="0" w:color="auto"/>
            </w:tcBorders>
            <w:shd w:val="clear" w:color="auto" w:fill="auto"/>
            <w:noWrap/>
            <w:vAlign w:val="center"/>
            <w:hideMark/>
          </w:tcPr>
          <w:p w14:paraId="4793F19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479241</w:t>
            </w:r>
          </w:p>
        </w:tc>
        <w:tc>
          <w:tcPr>
            <w:tcW w:w="7654" w:type="dxa"/>
            <w:tcBorders>
              <w:top w:val="nil"/>
              <w:left w:val="nil"/>
              <w:bottom w:val="single" w:sz="4" w:space="0" w:color="auto"/>
              <w:right w:val="single" w:sz="4" w:space="0" w:color="auto"/>
            </w:tcBorders>
            <w:shd w:val="clear" w:color="auto" w:fill="auto"/>
            <w:vAlign w:val="center"/>
            <w:hideMark/>
          </w:tcPr>
          <w:p w14:paraId="11A76734" w14:textId="77777777" w:rsidR="00AD3735" w:rsidRDefault="00AD3735">
            <w:pPr>
              <w:jc w:val="both"/>
              <w:rPr>
                <w:rFonts w:ascii="Arial" w:hAnsi="Arial" w:cs="Arial"/>
                <w:color w:val="333333"/>
                <w:sz w:val="20"/>
                <w:szCs w:val="20"/>
              </w:rPr>
            </w:pPr>
            <w:r>
              <w:rPr>
                <w:rFonts w:ascii="Arial" w:hAnsi="Arial" w:cs="Arial"/>
                <w:color w:val="333333"/>
                <w:sz w:val="20"/>
                <w:szCs w:val="20"/>
              </w:rPr>
              <w:t>Unidade disco, tipo:disco ssd, sata iii, capacidade:500 gb, tamanho:2,5 pol, velocidade: leitura 560mb/s ou superior / gravação 530mb/s ou superior. Expectativa de vida útil: 1,5 milhão de horas mtb ou mais</w:t>
            </w:r>
          </w:p>
        </w:tc>
        <w:tc>
          <w:tcPr>
            <w:tcW w:w="1155" w:type="dxa"/>
            <w:tcBorders>
              <w:top w:val="nil"/>
              <w:left w:val="nil"/>
              <w:bottom w:val="single" w:sz="4" w:space="0" w:color="auto"/>
              <w:right w:val="single" w:sz="4" w:space="0" w:color="auto"/>
            </w:tcBorders>
            <w:shd w:val="clear" w:color="auto" w:fill="auto"/>
            <w:vAlign w:val="center"/>
            <w:hideMark/>
          </w:tcPr>
          <w:p w14:paraId="5E2EDE5A"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4714FFD5"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0BA75FC1"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2F112CA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475,62 </w:t>
            </w:r>
          </w:p>
        </w:tc>
        <w:tc>
          <w:tcPr>
            <w:tcW w:w="1141" w:type="dxa"/>
            <w:tcBorders>
              <w:top w:val="nil"/>
              <w:left w:val="nil"/>
              <w:bottom w:val="single" w:sz="4" w:space="0" w:color="auto"/>
              <w:right w:val="single" w:sz="4" w:space="0" w:color="auto"/>
            </w:tcBorders>
            <w:shd w:val="clear" w:color="auto" w:fill="auto"/>
            <w:noWrap/>
            <w:vAlign w:val="center"/>
            <w:hideMark/>
          </w:tcPr>
          <w:p w14:paraId="40E9FB3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14.268,60 </w:t>
            </w:r>
          </w:p>
        </w:tc>
      </w:tr>
      <w:tr w:rsidR="00AD3735" w14:paraId="6488C2B0"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EFDBB8" w14:textId="77777777" w:rsidR="00AD3735" w:rsidRDefault="00AD3735">
            <w:pPr>
              <w:jc w:val="center"/>
              <w:rPr>
                <w:rFonts w:ascii="Arial" w:hAnsi="Arial" w:cs="Arial"/>
                <w:color w:val="000000"/>
                <w:sz w:val="20"/>
                <w:szCs w:val="20"/>
              </w:rPr>
            </w:pPr>
            <w:r>
              <w:rPr>
                <w:rFonts w:ascii="Arial" w:hAnsi="Arial" w:cs="Arial"/>
                <w:color w:val="000000"/>
                <w:sz w:val="20"/>
                <w:szCs w:val="20"/>
              </w:rPr>
              <w:lastRenderedPageBreak/>
              <w:t>7</w:t>
            </w:r>
          </w:p>
        </w:tc>
        <w:tc>
          <w:tcPr>
            <w:tcW w:w="993" w:type="dxa"/>
            <w:tcBorders>
              <w:top w:val="nil"/>
              <w:left w:val="nil"/>
              <w:bottom w:val="single" w:sz="4" w:space="0" w:color="auto"/>
              <w:right w:val="single" w:sz="4" w:space="0" w:color="auto"/>
            </w:tcBorders>
            <w:shd w:val="clear" w:color="auto" w:fill="auto"/>
            <w:noWrap/>
            <w:vAlign w:val="center"/>
            <w:hideMark/>
          </w:tcPr>
          <w:p w14:paraId="30CD0892"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431985</w:t>
            </w:r>
          </w:p>
        </w:tc>
        <w:tc>
          <w:tcPr>
            <w:tcW w:w="7654" w:type="dxa"/>
            <w:tcBorders>
              <w:top w:val="nil"/>
              <w:left w:val="nil"/>
              <w:bottom w:val="single" w:sz="4" w:space="0" w:color="auto"/>
              <w:right w:val="single" w:sz="4" w:space="0" w:color="auto"/>
            </w:tcBorders>
            <w:shd w:val="clear" w:color="auto" w:fill="auto"/>
            <w:vAlign w:val="center"/>
            <w:hideMark/>
          </w:tcPr>
          <w:p w14:paraId="44CEA414" w14:textId="77777777" w:rsidR="00AD3735" w:rsidRDefault="00AD3735">
            <w:pPr>
              <w:jc w:val="both"/>
              <w:rPr>
                <w:rFonts w:ascii="Arial" w:hAnsi="Arial" w:cs="Arial"/>
                <w:color w:val="333333"/>
                <w:sz w:val="20"/>
                <w:szCs w:val="20"/>
              </w:rPr>
            </w:pPr>
            <w:r>
              <w:rPr>
                <w:rFonts w:ascii="Arial" w:hAnsi="Arial" w:cs="Arial"/>
                <w:color w:val="333333"/>
                <w:sz w:val="20"/>
                <w:szCs w:val="20"/>
              </w:rPr>
              <w:t>Unidade disco, tipo:disco ssd, sata iii, capacidade: 1000gb, tamanho:2,5 pol, velocidade: leitura 560mb/s ou superior / gravação 530mb/s ou superior. Expectativa de vida útil: 1,5 milhão de horas mtb ou mais</w:t>
            </w:r>
          </w:p>
        </w:tc>
        <w:tc>
          <w:tcPr>
            <w:tcW w:w="1155" w:type="dxa"/>
            <w:tcBorders>
              <w:top w:val="nil"/>
              <w:left w:val="nil"/>
              <w:bottom w:val="single" w:sz="4" w:space="0" w:color="auto"/>
              <w:right w:val="single" w:sz="4" w:space="0" w:color="auto"/>
            </w:tcBorders>
            <w:shd w:val="clear" w:color="auto" w:fill="auto"/>
            <w:vAlign w:val="center"/>
            <w:hideMark/>
          </w:tcPr>
          <w:p w14:paraId="46796157"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39982AC9"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1DAE353E"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3F3D454B"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669,35 </w:t>
            </w:r>
          </w:p>
        </w:tc>
        <w:tc>
          <w:tcPr>
            <w:tcW w:w="1141" w:type="dxa"/>
            <w:tcBorders>
              <w:top w:val="nil"/>
              <w:left w:val="nil"/>
              <w:bottom w:val="single" w:sz="4" w:space="0" w:color="auto"/>
              <w:right w:val="single" w:sz="4" w:space="0" w:color="auto"/>
            </w:tcBorders>
            <w:shd w:val="clear" w:color="auto" w:fill="auto"/>
            <w:noWrap/>
            <w:vAlign w:val="center"/>
            <w:hideMark/>
          </w:tcPr>
          <w:p w14:paraId="2C9829CF"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20.080,50 </w:t>
            </w:r>
          </w:p>
        </w:tc>
      </w:tr>
      <w:tr w:rsidR="00AD3735" w14:paraId="486E4B36"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DA1C7A1" w14:textId="77777777" w:rsidR="00AD3735" w:rsidRDefault="00AD3735">
            <w:pPr>
              <w:jc w:val="center"/>
              <w:rPr>
                <w:rFonts w:ascii="Arial" w:hAnsi="Arial" w:cs="Arial"/>
                <w:color w:val="000000"/>
                <w:sz w:val="20"/>
                <w:szCs w:val="20"/>
              </w:rPr>
            </w:pPr>
            <w:r>
              <w:rPr>
                <w:rFonts w:ascii="Arial" w:hAnsi="Arial" w:cs="Arial"/>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center"/>
            <w:hideMark/>
          </w:tcPr>
          <w:p w14:paraId="727468B1"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452505</w:t>
            </w:r>
          </w:p>
        </w:tc>
        <w:tc>
          <w:tcPr>
            <w:tcW w:w="7654" w:type="dxa"/>
            <w:tcBorders>
              <w:top w:val="nil"/>
              <w:left w:val="nil"/>
              <w:bottom w:val="single" w:sz="4" w:space="0" w:color="auto"/>
              <w:right w:val="single" w:sz="4" w:space="0" w:color="auto"/>
            </w:tcBorders>
            <w:shd w:val="clear" w:color="auto" w:fill="auto"/>
            <w:vAlign w:val="center"/>
            <w:hideMark/>
          </w:tcPr>
          <w:p w14:paraId="76E13C38" w14:textId="77777777" w:rsidR="00AD3735" w:rsidRDefault="00AD3735">
            <w:pPr>
              <w:jc w:val="both"/>
              <w:rPr>
                <w:rFonts w:ascii="Arial" w:hAnsi="Arial" w:cs="Arial"/>
                <w:color w:val="333333"/>
                <w:sz w:val="20"/>
                <w:szCs w:val="20"/>
              </w:rPr>
            </w:pPr>
            <w:r>
              <w:rPr>
                <w:rFonts w:ascii="Arial" w:hAnsi="Arial" w:cs="Arial"/>
                <w:color w:val="333333"/>
                <w:sz w:val="20"/>
                <w:szCs w:val="20"/>
              </w:rPr>
              <w:t>Unidade disco, tipo:disco ssd, sata iii, capacidade: 8tb, tamanho:2,5 pol, velocidade: leitura 560mb/s ou superior / gravação 530mb/s ou superior. Expectativa de vida útil: 1,5 milhão de horas mtb ou mais</w:t>
            </w:r>
          </w:p>
        </w:tc>
        <w:tc>
          <w:tcPr>
            <w:tcW w:w="1155" w:type="dxa"/>
            <w:tcBorders>
              <w:top w:val="nil"/>
              <w:left w:val="nil"/>
              <w:bottom w:val="single" w:sz="4" w:space="0" w:color="auto"/>
              <w:right w:val="single" w:sz="4" w:space="0" w:color="auto"/>
            </w:tcBorders>
            <w:shd w:val="clear" w:color="auto" w:fill="auto"/>
            <w:vAlign w:val="center"/>
            <w:hideMark/>
          </w:tcPr>
          <w:p w14:paraId="39D01C2B"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7FD55FC7"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37C86468" w14:textId="77777777" w:rsidR="00AD3735" w:rsidRDefault="00AD3735">
            <w:pPr>
              <w:jc w:val="center"/>
              <w:rPr>
                <w:rFonts w:ascii="Arial" w:hAnsi="Arial" w:cs="Arial"/>
                <w:color w:val="000000"/>
                <w:sz w:val="20"/>
                <w:szCs w:val="20"/>
              </w:rPr>
            </w:pPr>
            <w:r>
              <w:rPr>
                <w:rFonts w:ascii="Arial" w:hAnsi="Arial" w:cs="Arial"/>
                <w:color w:val="000000"/>
                <w:sz w:val="20"/>
                <w:szCs w:val="20"/>
              </w:rPr>
              <w:t>15</w:t>
            </w:r>
          </w:p>
        </w:tc>
        <w:tc>
          <w:tcPr>
            <w:tcW w:w="962" w:type="dxa"/>
            <w:tcBorders>
              <w:top w:val="nil"/>
              <w:left w:val="nil"/>
              <w:bottom w:val="single" w:sz="4" w:space="0" w:color="auto"/>
              <w:right w:val="single" w:sz="4" w:space="0" w:color="auto"/>
            </w:tcBorders>
            <w:shd w:val="clear" w:color="auto" w:fill="auto"/>
            <w:noWrap/>
            <w:vAlign w:val="center"/>
            <w:hideMark/>
          </w:tcPr>
          <w:p w14:paraId="1DC0C13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4.299,00 </w:t>
            </w:r>
          </w:p>
        </w:tc>
        <w:tc>
          <w:tcPr>
            <w:tcW w:w="1141" w:type="dxa"/>
            <w:tcBorders>
              <w:top w:val="nil"/>
              <w:left w:val="nil"/>
              <w:bottom w:val="single" w:sz="4" w:space="0" w:color="auto"/>
              <w:right w:val="single" w:sz="4" w:space="0" w:color="auto"/>
            </w:tcBorders>
            <w:shd w:val="clear" w:color="auto" w:fill="auto"/>
            <w:noWrap/>
            <w:vAlign w:val="center"/>
            <w:hideMark/>
          </w:tcPr>
          <w:p w14:paraId="06C1809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64.485,00 </w:t>
            </w:r>
          </w:p>
        </w:tc>
      </w:tr>
      <w:tr w:rsidR="00AD3735" w14:paraId="517DD7AE"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483F37" w14:textId="77777777" w:rsidR="00AD3735" w:rsidRDefault="00AD3735">
            <w:pPr>
              <w:jc w:val="center"/>
              <w:rPr>
                <w:rFonts w:ascii="Arial" w:hAnsi="Arial" w:cs="Arial"/>
                <w:color w:val="000000"/>
                <w:sz w:val="20"/>
                <w:szCs w:val="20"/>
              </w:rPr>
            </w:pPr>
            <w:r>
              <w:rPr>
                <w:rFonts w:ascii="Arial" w:hAnsi="Arial" w:cs="Arial"/>
                <w:color w:val="000000"/>
                <w:sz w:val="20"/>
                <w:szCs w:val="20"/>
              </w:rPr>
              <w:t>9</w:t>
            </w:r>
          </w:p>
        </w:tc>
        <w:tc>
          <w:tcPr>
            <w:tcW w:w="993" w:type="dxa"/>
            <w:tcBorders>
              <w:top w:val="nil"/>
              <w:left w:val="nil"/>
              <w:bottom w:val="single" w:sz="4" w:space="0" w:color="auto"/>
              <w:right w:val="single" w:sz="4" w:space="0" w:color="auto"/>
            </w:tcBorders>
            <w:shd w:val="clear" w:color="auto" w:fill="auto"/>
            <w:noWrap/>
            <w:vAlign w:val="center"/>
            <w:hideMark/>
          </w:tcPr>
          <w:p w14:paraId="50AE10B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254372</w:t>
            </w:r>
          </w:p>
        </w:tc>
        <w:tc>
          <w:tcPr>
            <w:tcW w:w="7654" w:type="dxa"/>
            <w:tcBorders>
              <w:top w:val="nil"/>
              <w:left w:val="nil"/>
              <w:bottom w:val="single" w:sz="4" w:space="0" w:color="auto"/>
              <w:right w:val="single" w:sz="4" w:space="0" w:color="auto"/>
            </w:tcBorders>
            <w:shd w:val="clear" w:color="auto" w:fill="auto"/>
            <w:vAlign w:val="center"/>
            <w:hideMark/>
          </w:tcPr>
          <w:p w14:paraId="40C37633" w14:textId="77777777" w:rsidR="00AD3735" w:rsidRDefault="00AD3735">
            <w:pPr>
              <w:jc w:val="both"/>
              <w:rPr>
                <w:rFonts w:ascii="Arial" w:hAnsi="Arial" w:cs="Arial"/>
                <w:color w:val="333333"/>
                <w:sz w:val="20"/>
                <w:szCs w:val="20"/>
              </w:rPr>
            </w:pPr>
            <w:r>
              <w:rPr>
                <w:rFonts w:ascii="Arial" w:hAnsi="Arial" w:cs="Arial"/>
                <w:color w:val="333333"/>
                <w:sz w:val="20"/>
                <w:szCs w:val="20"/>
              </w:rPr>
              <w:t>Disco rígido, capacidade memória:20 tb. 3,5 pol, velocidade transferência:12 gb/s, interface:sas, aplicação:storage, características adicionais:memória cache 256 mb, velocidade:7.200 rpm, mtbf: 2.500.000 horas ou superior</w:t>
            </w:r>
          </w:p>
        </w:tc>
        <w:tc>
          <w:tcPr>
            <w:tcW w:w="1155" w:type="dxa"/>
            <w:tcBorders>
              <w:top w:val="nil"/>
              <w:left w:val="nil"/>
              <w:bottom w:val="single" w:sz="4" w:space="0" w:color="auto"/>
              <w:right w:val="single" w:sz="4" w:space="0" w:color="auto"/>
            </w:tcBorders>
            <w:shd w:val="clear" w:color="auto" w:fill="auto"/>
            <w:vAlign w:val="center"/>
            <w:hideMark/>
          </w:tcPr>
          <w:p w14:paraId="259A4DD5"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2BA8ACE9"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00FE39E5" w14:textId="77777777" w:rsidR="00AD3735" w:rsidRDefault="00AD3735">
            <w:pPr>
              <w:jc w:val="center"/>
              <w:rPr>
                <w:rFonts w:ascii="Arial" w:hAnsi="Arial" w:cs="Arial"/>
                <w:color w:val="000000"/>
                <w:sz w:val="20"/>
                <w:szCs w:val="20"/>
              </w:rPr>
            </w:pPr>
            <w:r>
              <w:rPr>
                <w:rFonts w:ascii="Arial" w:hAnsi="Arial" w:cs="Arial"/>
                <w:color w:val="000000"/>
                <w:sz w:val="20"/>
                <w:szCs w:val="20"/>
              </w:rPr>
              <w:t>17</w:t>
            </w:r>
          </w:p>
        </w:tc>
        <w:tc>
          <w:tcPr>
            <w:tcW w:w="962" w:type="dxa"/>
            <w:tcBorders>
              <w:top w:val="nil"/>
              <w:left w:val="nil"/>
              <w:bottom w:val="single" w:sz="4" w:space="0" w:color="auto"/>
              <w:right w:val="single" w:sz="4" w:space="0" w:color="auto"/>
            </w:tcBorders>
            <w:shd w:val="clear" w:color="auto" w:fill="auto"/>
            <w:noWrap/>
            <w:vAlign w:val="center"/>
            <w:hideMark/>
          </w:tcPr>
          <w:p w14:paraId="33FFB21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3.809,76 </w:t>
            </w:r>
          </w:p>
        </w:tc>
        <w:tc>
          <w:tcPr>
            <w:tcW w:w="1141" w:type="dxa"/>
            <w:tcBorders>
              <w:top w:val="nil"/>
              <w:left w:val="nil"/>
              <w:bottom w:val="single" w:sz="4" w:space="0" w:color="auto"/>
              <w:right w:val="single" w:sz="4" w:space="0" w:color="auto"/>
            </w:tcBorders>
            <w:shd w:val="clear" w:color="auto" w:fill="auto"/>
            <w:noWrap/>
            <w:vAlign w:val="center"/>
            <w:hideMark/>
          </w:tcPr>
          <w:p w14:paraId="736053D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64.765,92 </w:t>
            </w:r>
          </w:p>
        </w:tc>
      </w:tr>
      <w:tr w:rsidR="00AD3735" w14:paraId="69E4F2D6"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3C80BA5" w14:textId="77777777" w:rsidR="00AD3735" w:rsidRDefault="00AD3735">
            <w:pPr>
              <w:jc w:val="center"/>
              <w:rPr>
                <w:rFonts w:ascii="Arial" w:hAnsi="Arial" w:cs="Arial"/>
                <w:color w:val="000000"/>
                <w:sz w:val="20"/>
                <w:szCs w:val="20"/>
              </w:rPr>
            </w:pPr>
            <w:r>
              <w:rPr>
                <w:rFonts w:ascii="Arial" w:hAnsi="Arial" w:cs="Arial"/>
                <w:color w:val="00000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14:paraId="0C73A631"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449835</w:t>
            </w:r>
          </w:p>
        </w:tc>
        <w:tc>
          <w:tcPr>
            <w:tcW w:w="7654" w:type="dxa"/>
            <w:tcBorders>
              <w:top w:val="nil"/>
              <w:left w:val="nil"/>
              <w:bottom w:val="single" w:sz="4" w:space="0" w:color="auto"/>
              <w:right w:val="single" w:sz="4" w:space="0" w:color="auto"/>
            </w:tcBorders>
            <w:shd w:val="clear" w:color="auto" w:fill="auto"/>
            <w:vAlign w:val="center"/>
            <w:hideMark/>
          </w:tcPr>
          <w:p w14:paraId="4BBB52D5" w14:textId="77777777" w:rsidR="00AD3735" w:rsidRDefault="00AD3735">
            <w:pPr>
              <w:jc w:val="both"/>
              <w:rPr>
                <w:rFonts w:ascii="Arial" w:hAnsi="Arial" w:cs="Arial"/>
                <w:color w:val="333333"/>
                <w:sz w:val="20"/>
                <w:szCs w:val="20"/>
              </w:rPr>
            </w:pPr>
            <w:r>
              <w:rPr>
                <w:rFonts w:ascii="Arial" w:hAnsi="Arial" w:cs="Arial"/>
                <w:color w:val="333333"/>
                <w:sz w:val="20"/>
                <w:szCs w:val="20"/>
              </w:rPr>
              <w:t>Memória portátil microcomputador, capacidade memória:16 gb, interface:usb 3.0, aplicação:armazenamento de dados, velocidade gravação:10 mbps, velocidade leitura:40 mbps, compatibilidade sistemas:windows 7, windows 8, windows 10 e linux, tipo:pen drive</w:t>
            </w:r>
          </w:p>
        </w:tc>
        <w:tc>
          <w:tcPr>
            <w:tcW w:w="1155" w:type="dxa"/>
            <w:tcBorders>
              <w:top w:val="nil"/>
              <w:left w:val="nil"/>
              <w:bottom w:val="single" w:sz="4" w:space="0" w:color="auto"/>
              <w:right w:val="single" w:sz="4" w:space="0" w:color="auto"/>
            </w:tcBorders>
            <w:shd w:val="clear" w:color="auto" w:fill="auto"/>
            <w:vAlign w:val="center"/>
            <w:hideMark/>
          </w:tcPr>
          <w:p w14:paraId="6C659596"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10287E07"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7C77809F"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0F8E48CE"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30,70 </w:t>
            </w:r>
          </w:p>
        </w:tc>
        <w:tc>
          <w:tcPr>
            <w:tcW w:w="1141" w:type="dxa"/>
            <w:tcBorders>
              <w:top w:val="nil"/>
              <w:left w:val="nil"/>
              <w:bottom w:val="single" w:sz="4" w:space="0" w:color="auto"/>
              <w:right w:val="single" w:sz="4" w:space="0" w:color="auto"/>
            </w:tcBorders>
            <w:shd w:val="clear" w:color="auto" w:fill="auto"/>
            <w:noWrap/>
            <w:vAlign w:val="center"/>
            <w:hideMark/>
          </w:tcPr>
          <w:p w14:paraId="608BAFD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614,00 </w:t>
            </w:r>
          </w:p>
        </w:tc>
      </w:tr>
      <w:tr w:rsidR="00AD3735" w14:paraId="0479A788" w14:textId="77777777" w:rsidTr="0017033F">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F44FCFF" w14:textId="77777777" w:rsidR="00AD3735" w:rsidRDefault="00AD3735">
            <w:pPr>
              <w:jc w:val="center"/>
              <w:rPr>
                <w:rFonts w:ascii="Arial" w:hAnsi="Arial" w:cs="Arial"/>
                <w:color w:val="000000"/>
                <w:sz w:val="20"/>
                <w:szCs w:val="20"/>
              </w:rPr>
            </w:pPr>
            <w:r>
              <w:rPr>
                <w:rFonts w:ascii="Arial" w:hAnsi="Arial" w:cs="Arial"/>
                <w:color w:val="000000"/>
                <w:sz w:val="20"/>
                <w:szCs w:val="20"/>
              </w:rPr>
              <w:t>11</w:t>
            </w:r>
          </w:p>
        </w:tc>
        <w:tc>
          <w:tcPr>
            <w:tcW w:w="993" w:type="dxa"/>
            <w:tcBorders>
              <w:top w:val="nil"/>
              <w:left w:val="nil"/>
              <w:bottom w:val="single" w:sz="4" w:space="0" w:color="auto"/>
              <w:right w:val="single" w:sz="4" w:space="0" w:color="auto"/>
            </w:tcBorders>
            <w:shd w:val="clear" w:color="auto" w:fill="auto"/>
            <w:noWrap/>
            <w:vAlign w:val="center"/>
            <w:hideMark/>
          </w:tcPr>
          <w:p w14:paraId="64AA82C6"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454460</w:t>
            </w:r>
          </w:p>
        </w:tc>
        <w:tc>
          <w:tcPr>
            <w:tcW w:w="7654" w:type="dxa"/>
            <w:tcBorders>
              <w:top w:val="nil"/>
              <w:left w:val="nil"/>
              <w:bottom w:val="single" w:sz="4" w:space="0" w:color="auto"/>
              <w:right w:val="single" w:sz="4" w:space="0" w:color="auto"/>
            </w:tcBorders>
            <w:shd w:val="clear" w:color="auto" w:fill="auto"/>
            <w:vAlign w:val="center"/>
            <w:hideMark/>
          </w:tcPr>
          <w:p w14:paraId="7C67D259" w14:textId="77777777" w:rsidR="00AD3735" w:rsidRDefault="00AD3735">
            <w:pPr>
              <w:jc w:val="both"/>
              <w:rPr>
                <w:rFonts w:ascii="Arial" w:hAnsi="Arial" w:cs="Arial"/>
                <w:color w:val="333333"/>
                <w:sz w:val="20"/>
                <w:szCs w:val="20"/>
              </w:rPr>
            </w:pPr>
            <w:r>
              <w:rPr>
                <w:rFonts w:ascii="Arial" w:hAnsi="Arial" w:cs="Arial"/>
                <w:color w:val="333333"/>
                <w:sz w:val="20"/>
                <w:szCs w:val="20"/>
              </w:rPr>
              <w:t>Memória portátil microcomputador, capacidade memória:32 gb, interface:usb, tipo:pen drive</w:t>
            </w:r>
          </w:p>
        </w:tc>
        <w:tc>
          <w:tcPr>
            <w:tcW w:w="1155" w:type="dxa"/>
            <w:tcBorders>
              <w:top w:val="nil"/>
              <w:left w:val="nil"/>
              <w:bottom w:val="single" w:sz="4" w:space="0" w:color="auto"/>
              <w:right w:val="single" w:sz="4" w:space="0" w:color="auto"/>
            </w:tcBorders>
            <w:shd w:val="clear" w:color="auto" w:fill="auto"/>
            <w:vAlign w:val="center"/>
            <w:hideMark/>
          </w:tcPr>
          <w:p w14:paraId="35FD9A2B"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D102495"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4F585479"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0AAD98D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32,00 </w:t>
            </w:r>
          </w:p>
        </w:tc>
        <w:tc>
          <w:tcPr>
            <w:tcW w:w="1141" w:type="dxa"/>
            <w:tcBorders>
              <w:top w:val="nil"/>
              <w:left w:val="nil"/>
              <w:bottom w:val="single" w:sz="4" w:space="0" w:color="auto"/>
              <w:right w:val="single" w:sz="4" w:space="0" w:color="auto"/>
            </w:tcBorders>
            <w:shd w:val="clear" w:color="auto" w:fill="auto"/>
            <w:noWrap/>
            <w:vAlign w:val="center"/>
            <w:hideMark/>
          </w:tcPr>
          <w:p w14:paraId="40CC9B9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640,00 </w:t>
            </w:r>
          </w:p>
        </w:tc>
      </w:tr>
      <w:tr w:rsidR="00AD3735" w14:paraId="5FF947E0" w14:textId="77777777" w:rsidTr="0017033F">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1CBE4F" w14:textId="77777777" w:rsidR="00AD3735" w:rsidRDefault="00AD3735">
            <w:pPr>
              <w:jc w:val="center"/>
              <w:rPr>
                <w:rFonts w:ascii="Arial" w:hAnsi="Arial" w:cs="Arial"/>
                <w:color w:val="000000"/>
                <w:sz w:val="20"/>
                <w:szCs w:val="20"/>
              </w:rPr>
            </w:pPr>
            <w:r>
              <w:rPr>
                <w:rFonts w:ascii="Arial" w:hAnsi="Arial" w:cs="Arial"/>
                <w:color w:val="000000"/>
                <w:sz w:val="20"/>
                <w:szCs w:val="20"/>
              </w:rPr>
              <w:t>12</w:t>
            </w:r>
          </w:p>
        </w:tc>
        <w:tc>
          <w:tcPr>
            <w:tcW w:w="993" w:type="dxa"/>
            <w:tcBorders>
              <w:top w:val="nil"/>
              <w:left w:val="nil"/>
              <w:bottom w:val="single" w:sz="4" w:space="0" w:color="auto"/>
              <w:right w:val="single" w:sz="4" w:space="0" w:color="auto"/>
            </w:tcBorders>
            <w:shd w:val="clear" w:color="auto" w:fill="auto"/>
            <w:noWrap/>
            <w:vAlign w:val="center"/>
            <w:hideMark/>
          </w:tcPr>
          <w:p w14:paraId="4BBDB57D"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374603</w:t>
            </w:r>
          </w:p>
        </w:tc>
        <w:tc>
          <w:tcPr>
            <w:tcW w:w="7654" w:type="dxa"/>
            <w:tcBorders>
              <w:top w:val="nil"/>
              <w:left w:val="nil"/>
              <w:bottom w:val="single" w:sz="4" w:space="0" w:color="auto"/>
              <w:right w:val="single" w:sz="4" w:space="0" w:color="auto"/>
            </w:tcBorders>
            <w:shd w:val="clear" w:color="auto" w:fill="auto"/>
            <w:vAlign w:val="center"/>
            <w:hideMark/>
          </w:tcPr>
          <w:p w14:paraId="47E85F9D" w14:textId="77777777" w:rsidR="00AD3735" w:rsidRDefault="00AD3735">
            <w:pPr>
              <w:jc w:val="both"/>
              <w:rPr>
                <w:rFonts w:ascii="Arial" w:hAnsi="Arial" w:cs="Arial"/>
                <w:color w:val="333333"/>
                <w:sz w:val="20"/>
                <w:szCs w:val="20"/>
              </w:rPr>
            </w:pPr>
            <w:r>
              <w:rPr>
                <w:rFonts w:ascii="Arial" w:hAnsi="Arial" w:cs="Arial"/>
                <w:color w:val="333333"/>
                <w:sz w:val="20"/>
                <w:szCs w:val="20"/>
              </w:rPr>
              <w:t>Memória portátil microcomputador, capacidade memória:64 gb, interface:usb, tipo:pen drive</w:t>
            </w:r>
          </w:p>
        </w:tc>
        <w:tc>
          <w:tcPr>
            <w:tcW w:w="1155" w:type="dxa"/>
            <w:tcBorders>
              <w:top w:val="nil"/>
              <w:left w:val="nil"/>
              <w:bottom w:val="single" w:sz="4" w:space="0" w:color="auto"/>
              <w:right w:val="single" w:sz="4" w:space="0" w:color="auto"/>
            </w:tcBorders>
            <w:shd w:val="clear" w:color="auto" w:fill="auto"/>
            <w:vAlign w:val="center"/>
            <w:hideMark/>
          </w:tcPr>
          <w:p w14:paraId="38A8F6C2"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450F3975"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741C1431"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743FA21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36,06 </w:t>
            </w:r>
          </w:p>
        </w:tc>
        <w:tc>
          <w:tcPr>
            <w:tcW w:w="1141" w:type="dxa"/>
            <w:tcBorders>
              <w:top w:val="nil"/>
              <w:left w:val="nil"/>
              <w:bottom w:val="single" w:sz="4" w:space="0" w:color="auto"/>
              <w:right w:val="single" w:sz="4" w:space="0" w:color="auto"/>
            </w:tcBorders>
            <w:shd w:val="clear" w:color="auto" w:fill="auto"/>
            <w:noWrap/>
            <w:vAlign w:val="center"/>
            <w:hideMark/>
          </w:tcPr>
          <w:p w14:paraId="4839798F"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721,20 </w:t>
            </w:r>
          </w:p>
        </w:tc>
      </w:tr>
      <w:tr w:rsidR="00AD3735" w14:paraId="6B3DE9D2"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474FE9" w14:textId="77777777" w:rsidR="00AD3735" w:rsidRDefault="00AD3735">
            <w:pPr>
              <w:jc w:val="center"/>
              <w:rPr>
                <w:rFonts w:ascii="Arial" w:hAnsi="Arial" w:cs="Arial"/>
                <w:color w:val="000000"/>
                <w:sz w:val="20"/>
                <w:szCs w:val="20"/>
              </w:rPr>
            </w:pPr>
            <w:r>
              <w:rPr>
                <w:rFonts w:ascii="Arial" w:hAnsi="Arial" w:cs="Arial"/>
                <w:color w:val="000000"/>
                <w:sz w:val="20"/>
                <w:szCs w:val="20"/>
              </w:rPr>
              <w:t>13</w:t>
            </w:r>
          </w:p>
        </w:tc>
        <w:tc>
          <w:tcPr>
            <w:tcW w:w="993" w:type="dxa"/>
            <w:tcBorders>
              <w:top w:val="nil"/>
              <w:left w:val="nil"/>
              <w:bottom w:val="single" w:sz="4" w:space="0" w:color="auto"/>
              <w:right w:val="single" w:sz="4" w:space="0" w:color="auto"/>
            </w:tcBorders>
            <w:shd w:val="clear" w:color="auto" w:fill="auto"/>
            <w:noWrap/>
            <w:vAlign w:val="center"/>
            <w:hideMark/>
          </w:tcPr>
          <w:p w14:paraId="3FD1A14B"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473420</w:t>
            </w:r>
          </w:p>
        </w:tc>
        <w:tc>
          <w:tcPr>
            <w:tcW w:w="7654" w:type="dxa"/>
            <w:tcBorders>
              <w:top w:val="nil"/>
              <w:left w:val="nil"/>
              <w:bottom w:val="single" w:sz="4" w:space="0" w:color="auto"/>
              <w:right w:val="single" w:sz="4" w:space="0" w:color="auto"/>
            </w:tcBorders>
            <w:shd w:val="clear" w:color="auto" w:fill="auto"/>
            <w:vAlign w:val="center"/>
            <w:hideMark/>
          </w:tcPr>
          <w:p w14:paraId="682599A1" w14:textId="77777777" w:rsidR="00AD3735" w:rsidRDefault="00AD3735">
            <w:pPr>
              <w:jc w:val="both"/>
              <w:rPr>
                <w:rFonts w:ascii="Arial" w:hAnsi="Arial" w:cs="Arial"/>
                <w:color w:val="333333"/>
                <w:sz w:val="20"/>
                <w:szCs w:val="20"/>
              </w:rPr>
            </w:pPr>
            <w:r>
              <w:rPr>
                <w:rFonts w:ascii="Arial" w:hAnsi="Arial" w:cs="Arial"/>
                <w:color w:val="333333"/>
                <w:sz w:val="20"/>
                <w:szCs w:val="20"/>
              </w:rPr>
              <w:t xml:space="preserve">Memória ram, aplicação:microcomputadores, capacidade memória:8 gb, padrão:ddr3, frequência 1600 mhz </w:t>
            </w:r>
          </w:p>
        </w:tc>
        <w:tc>
          <w:tcPr>
            <w:tcW w:w="1155" w:type="dxa"/>
            <w:tcBorders>
              <w:top w:val="nil"/>
              <w:left w:val="nil"/>
              <w:bottom w:val="single" w:sz="4" w:space="0" w:color="auto"/>
              <w:right w:val="single" w:sz="4" w:space="0" w:color="auto"/>
            </w:tcBorders>
            <w:shd w:val="clear" w:color="auto" w:fill="auto"/>
            <w:vAlign w:val="center"/>
            <w:hideMark/>
          </w:tcPr>
          <w:p w14:paraId="05839819"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246EAC0F"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44CB7F09"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4DD54FF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80,00 </w:t>
            </w:r>
          </w:p>
        </w:tc>
        <w:tc>
          <w:tcPr>
            <w:tcW w:w="1141" w:type="dxa"/>
            <w:tcBorders>
              <w:top w:val="nil"/>
              <w:left w:val="nil"/>
              <w:bottom w:val="single" w:sz="4" w:space="0" w:color="auto"/>
              <w:right w:val="single" w:sz="4" w:space="0" w:color="auto"/>
            </w:tcBorders>
            <w:shd w:val="clear" w:color="auto" w:fill="auto"/>
            <w:noWrap/>
            <w:vAlign w:val="center"/>
            <w:hideMark/>
          </w:tcPr>
          <w:p w14:paraId="0B698C7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1.600,00 </w:t>
            </w:r>
          </w:p>
        </w:tc>
      </w:tr>
      <w:tr w:rsidR="00AD3735" w14:paraId="1DF7270C"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401985" w14:textId="77777777" w:rsidR="00AD3735" w:rsidRDefault="00AD3735">
            <w:pPr>
              <w:jc w:val="center"/>
              <w:rPr>
                <w:rFonts w:ascii="Arial" w:hAnsi="Arial" w:cs="Arial"/>
                <w:color w:val="000000"/>
                <w:sz w:val="20"/>
                <w:szCs w:val="20"/>
              </w:rPr>
            </w:pPr>
            <w:r>
              <w:rPr>
                <w:rFonts w:ascii="Arial" w:hAnsi="Arial" w:cs="Arial"/>
                <w:color w:val="000000"/>
                <w:sz w:val="20"/>
                <w:szCs w:val="20"/>
              </w:rPr>
              <w:t>14</w:t>
            </w:r>
          </w:p>
        </w:tc>
        <w:tc>
          <w:tcPr>
            <w:tcW w:w="993" w:type="dxa"/>
            <w:tcBorders>
              <w:top w:val="nil"/>
              <w:left w:val="nil"/>
              <w:bottom w:val="single" w:sz="4" w:space="0" w:color="auto"/>
              <w:right w:val="single" w:sz="4" w:space="0" w:color="auto"/>
            </w:tcBorders>
            <w:shd w:val="clear" w:color="auto" w:fill="auto"/>
            <w:noWrap/>
            <w:vAlign w:val="center"/>
            <w:hideMark/>
          </w:tcPr>
          <w:p w14:paraId="531FE37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604331</w:t>
            </w:r>
          </w:p>
        </w:tc>
        <w:tc>
          <w:tcPr>
            <w:tcW w:w="7654" w:type="dxa"/>
            <w:tcBorders>
              <w:top w:val="nil"/>
              <w:left w:val="nil"/>
              <w:bottom w:val="single" w:sz="4" w:space="0" w:color="auto"/>
              <w:right w:val="single" w:sz="4" w:space="0" w:color="auto"/>
            </w:tcBorders>
            <w:shd w:val="clear" w:color="auto" w:fill="auto"/>
            <w:vAlign w:val="center"/>
            <w:hideMark/>
          </w:tcPr>
          <w:p w14:paraId="09658E58" w14:textId="77777777" w:rsidR="00AD3735" w:rsidRDefault="00AD3735">
            <w:pPr>
              <w:jc w:val="both"/>
              <w:rPr>
                <w:rFonts w:ascii="Arial" w:hAnsi="Arial" w:cs="Arial"/>
                <w:color w:val="333333"/>
                <w:sz w:val="20"/>
                <w:szCs w:val="20"/>
              </w:rPr>
            </w:pPr>
            <w:r>
              <w:rPr>
                <w:rFonts w:ascii="Arial" w:hAnsi="Arial" w:cs="Arial"/>
                <w:color w:val="333333"/>
                <w:sz w:val="20"/>
                <w:szCs w:val="20"/>
              </w:rPr>
              <w:t>Pente de memória, capacidade memória:8 gb, aplicação em microcomputadores tipo:ddr4, frequência clock:3200 mhz</w:t>
            </w:r>
          </w:p>
        </w:tc>
        <w:tc>
          <w:tcPr>
            <w:tcW w:w="1155" w:type="dxa"/>
            <w:tcBorders>
              <w:top w:val="nil"/>
              <w:left w:val="nil"/>
              <w:bottom w:val="single" w:sz="4" w:space="0" w:color="auto"/>
              <w:right w:val="single" w:sz="4" w:space="0" w:color="auto"/>
            </w:tcBorders>
            <w:shd w:val="clear" w:color="auto" w:fill="auto"/>
            <w:vAlign w:val="center"/>
            <w:hideMark/>
          </w:tcPr>
          <w:p w14:paraId="18127819"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17961E6B"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75199F59"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7303072D"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154,97 </w:t>
            </w:r>
          </w:p>
        </w:tc>
        <w:tc>
          <w:tcPr>
            <w:tcW w:w="1141" w:type="dxa"/>
            <w:tcBorders>
              <w:top w:val="nil"/>
              <w:left w:val="nil"/>
              <w:bottom w:val="single" w:sz="4" w:space="0" w:color="auto"/>
              <w:right w:val="single" w:sz="4" w:space="0" w:color="auto"/>
            </w:tcBorders>
            <w:shd w:val="clear" w:color="auto" w:fill="auto"/>
            <w:noWrap/>
            <w:vAlign w:val="center"/>
            <w:hideMark/>
          </w:tcPr>
          <w:p w14:paraId="56372E4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3.099,40 </w:t>
            </w:r>
          </w:p>
        </w:tc>
      </w:tr>
      <w:tr w:rsidR="00AD3735" w14:paraId="11B28AE9"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A1B540" w14:textId="77777777" w:rsidR="00AD3735" w:rsidRDefault="00AD3735">
            <w:pPr>
              <w:jc w:val="center"/>
              <w:rPr>
                <w:rFonts w:ascii="Arial" w:hAnsi="Arial" w:cs="Arial"/>
                <w:color w:val="000000"/>
                <w:sz w:val="20"/>
                <w:szCs w:val="20"/>
              </w:rPr>
            </w:pPr>
            <w:r>
              <w:rPr>
                <w:rFonts w:ascii="Arial" w:hAnsi="Arial" w:cs="Arial"/>
                <w:color w:val="000000"/>
                <w:sz w:val="20"/>
                <w:szCs w:val="20"/>
              </w:rPr>
              <w:t>15</w:t>
            </w:r>
          </w:p>
        </w:tc>
        <w:tc>
          <w:tcPr>
            <w:tcW w:w="993" w:type="dxa"/>
            <w:tcBorders>
              <w:top w:val="nil"/>
              <w:left w:val="nil"/>
              <w:bottom w:val="single" w:sz="4" w:space="0" w:color="auto"/>
              <w:right w:val="single" w:sz="4" w:space="0" w:color="auto"/>
            </w:tcBorders>
            <w:shd w:val="clear" w:color="auto" w:fill="auto"/>
            <w:noWrap/>
            <w:vAlign w:val="center"/>
            <w:hideMark/>
          </w:tcPr>
          <w:p w14:paraId="2FB33370"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471998</w:t>
            </w:r>
          </w:p>
        </w:tc>
        <w:tc>
          <w:tcPr>
            <w:tcW w:w="7654" w:type="dxa"/>
            <w:tcBorders>
              <w:top w:val="nil"/>
              <w:left w:val="nil"/>
              <w:bottom w:val="single" w:sz="4" w:space="0" w:color="auto"/>
              <w:right w:val="single" w:sz="4" w:space="0" w:color="auto"/>
            </w:tcBorders>
            <w:shd w:val="clear" w:color="auto" w:fill="auto"/>
            <w:vAlign w:val="center"/>
            <w:hideMark/>
          </w:tcPr>
          <w:p w14:paraId="08C92BB4" w14:textId="77777777" w:rsidR="00AD3735" w:rsidRDefault="00AD3735">
            <w:pPr>
              <w:jc w:val="both"/>
              <w:rPr>
                <w:rFonts w:ascii="Arial" w:hAnsi="Arial" w:cs="Arial"/>
                <w:color w:val="333333"/>
                <w:sz w:val="20"/>
                <w:szCs w:val="20"/>
              </w:rPr>
            </w:pPr>
            <w:r>
              <w:rPr>
                <w:rFonts w:ascii="Arial" w:hAnsi="Arial" w:cs="Arial"/>
                <w:color w:val="333333"/>
                <w:sz w:val="20"/>
                <w:szCs w:val="20"/>
              </w:rPr>
              <w:t>Memória ram, aplicação:microcomputadores, capacidade memória:16 gb, padrão: ddr4, frequência 3200 mhz</w:t>
            </w:r>
          </w:p>
        </w:tc>
        <w:tc>
          <w:tcPr>
            <w:tcW w:w="1155" w:type="dxa"/>
            <w:tcBorders>
              <w:top w:val="nil"/>
              <w:left w:val="nil"/>
              <w:bottom w:val="single" w:sz="4" w:space="0" w:color="auto"/>
              <w:right w:val="single" w:sz="4" w:space="0" w:color="auto"/>
            </w:tcBorders>
            <w:shd w:val="clear" w:color="auto" w:fill="auto"/>
            <w:vAlign w:val="center"/>
            <w:hideMark/>
          </w:tcPr>
          <w:p w14:paraId="289E4DF7"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C21D1B3"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1876991F"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18DCEC9E"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300,00 </w:t>
            </w:r>
          </w:p>
        </w:tc>
        <w:tc>
          <w:tcPr>
            <w:tcW w:w="1141" w:type="dxa"/>
            <w:tcBorders>
              <w:top w:val="nil"/>
              <w:left w:val="nil"/>
              <w:bottom w:val="single" w:sz="4" w:space="0" w:color="auto"/>
              <w:right w:val="single" w:sz="4" w:space="0" w:color="auto"/>
            </w:tcBorders>
            <w:shd w:val="clear" w:color="auto" w:fill="auto"/>
            <w:noWrap/>
            <w:vAlign w:val="center"/>
            <w:hideMark/>
          </w:tcPr>
          <w:p w14:paraId="6E6E1F4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6.000,00 </w:t>
            </w:r>
          </w:p>
        </w:tc>
      </w:tr>
      <w:tr w:rsidR="00AD3735" w14:paraId="095AAE82"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987D567" w14:textId="77777777" w:rsidR="00AD3735" w:rsidRDefault="00AD3735">
            <w:pPr>
              <w:jc w:val="center"/>
              <w:rPr>
                <w:rFonts w:ascii="Arial" w:hAnsi="Arial" w:cs="Arial"/>
                <w:color w:val="000000"/>
                <w:sz w:val="20"/>
                <w:szCs w:val="20"/>
              </w:rPr>
            </w:pPr>
            <w:r>
              <w:rPr>
                <w:rFonts w:ascii="Arial" w:hAnsi="Arial" w:cs="Arial"/>
                <w:color w:val="000000"/>
                <w:sz w:val="20"/>
                <w:szCs w:val="20"/>
              </w:rPr>
              <w:t>16</w:t>
            </w:r>
          </w:p>
        </w:tc>
        <w:tc>
          <w:tcPr>
            <w:tcW w:w="993" w:type="dxa"/>
            <w:tcBorders>
              <w:top w:val="nil"/>
              <w:left w:val="nil"/>
              <w:bottom w:val="single" w:sz="4" w:space="0" w:color="auto"/>
              <w:right w:val="single" w:sz="4" w:space="0" w:color="auto"/>
            </w:tcBorders>
            <w:shd w:val="clear" w:color="auto" w:fill="auto"/>
            <w:noWrap/>
            <w:vAlign w:val="center"/>
            <w:hideMark/>
          </w:tcPr>
          <w:p w14:paraId="3B129235"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471998</w:t>
            </w:r>
          </w:p>
        </w:tc>
        <w:tc>
          <w:tcPr>
            <w:tcW w:w="7654" w:type="dxa"/>
            <w:tcBorders>
              <w:top w:val="nil"/>
              <w:left w:val="nil"/>
              <w:bottom w:val="single" w:sz="4" w:space="0" w:color="auto"/>
              <w:right w:val="single" w:sz="4" w:space="0" w:color="auto"/>
            </w:tcBorders>
            <w:shd w:val="clear" w:color="auto" w:fill="auto"/>
            <w:vAlign w:val="center"/>
            <w:hideMark/>
          </w:tcPr>
          <w:p w14:paraId="527FC129" w14:textId="77777777" w:rsidR="00AD3735" w:rsidRDefault="00AD3735">
            <w:pPr>
              <w:jc w:val="both"/>
              <w:rPr>
                <w:rFonts w:ascii="Arial" w:hAnsi="Arial" w:cs="Arial"/>
                <w:color w:val="333333"/>
                <w:sz w:val="20"/>
                <w:szCs w:val="20"/>
              </w:rPr>
            </w:pPr>
            <w:r>
              <w:rPr>
                <w:rFonts w:ascii="Arial" w:hAnsi="Arial" w:cs="Arial"/>
                <w:color w:val="333333"/>
                <w:sz w:val="20"/>
                <w:szCs w:val="20"/>
              </w:rPr>
              <w:t>Pente de memória, capacidade memória:32 gb, tipo:ddr4, velocidade barramento:mínimo 3200 mhz, aplicação:microcomputador</w:t>
            </w:r>
          </w:p>
        </w:tc>
        <w:tc>
          <w:tcPr>
            <w:tcW w:w="1155" w:type="dxa"/>
            <w:tcBorders>
              <w:top w:val="nil"/>
              <w:left w:val="nil"/>
              <w:bottom w:val="single" w:sz="4" w:space="0" w:color="auto"/>
              <w:right w:val="single" w:sz="4" w:space="0" w:color="auto"/>
            </w:tcBorders>
            <w:shd w:val="clear" w:color="auto" w:fill="auto"/>
            <w:vAlign w:val="center"/>
            <w:hideMark/>
          </w:tcPr>
          <w:p w14:paraId="0A222DCB"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C438DCD"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26A3CF23"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754E272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613,50 </w:t>
            </w:r>
          </w:p>
        </w:tc>
        <w:tc>
          <w:tcPr>
            <w:tcW w:w="1141" w:type="dxa"/>
            <w:tcBorders>
              <w:top w:val="nil"/>
              <w:left w:val="nil"/>
              <w:bottom w:val="single" w:sz="4" w:space="0" w:color="auto"/>
              <w:right w:val="single" w:sz="4" w:space="0" w:color="auto"/>
            </w:tcBorders>
            <w:shd w:val="clear" w:color="auto" w:fill="auto"/>
            <w:noWrap/>
            <w:vAlign w:val="center"/>
            <w:hideMark/>
          </w:tcPr>
          <w:p w14:paraId="5240571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12.270,00 </w:t>
            </w:r>
          </w:p>
        </w:tc>
      </w:tr>
      <w:tr w:rsidR="00AD3735" w14:paraId="2D2F58DB" w14:textId="77777777" w:rsidTr="0017033F">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E562D3" w14:textId="77777777" w:rsidR="00AD3735" w:rsidRDefault="00AD3735">
            <w:pPr>
              <w:jc w:val="center"/>
              <w:rPr>
                <w:rFonts w:ascii="Arial" w:hAnsi="Arial" w:cs="Arial"/>
                <w:color w:val="000000"/>
                <w:sz w:val="20"/>
                <w:szCs w:val="20"/>
              </w:rPr>
            </w:pPr>
            <w:r>
              <w:rPr>
                <w:rFonts w:ascii="Arial" w:hAnsi="Arial" w:cs="Arial"/>
                <w:color w:val="000000"/>
                <w:sz w:val="20"/>
                <w:szCs w:val="20"/>
              </w:rPr>
              <w:t>17</w:t>
            </w:r>
          </w:p>
        </w:tc>
        <w:tc>
          <w:tcPr>
            <w:tcW w:w="993" w:type="dxa"/>
            <w:tcBorders>
              <w:top w:val="nil"/>
              <w:left w:val="nil"/>
              <w:bottom w:val="single" w:sz="4" w:space="0" w:color="auto"/>
              <w:right w:val="single" w:sz="4" w:space="0" w:color="auto"/>
            </w:tcBorders>
            <w:shd w:val="clear" w:color="auto" w:fill="auto"/>
            <w:noWrap/>
            <w:vAlign w:val="center"/>
            <w:hideMark/>
          </w:tcPr>
          <w:p w14:paraId="590D424B"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462602</w:t>
            </w:r>
          </w:p>
        </w:tc>
        <w:tc>
          <w:tcPr>
            <w:tcW w:w="7654" w:type="dxa"/>
            <w:tcBorders>
              <w:top w:val="nil"/>
              <w:left w:val="nil"/>
              <w:bottom w:val="single" w:sz="4" w:space="0" w:color="auto"/>
              <w:right w:val="single" w:sz="4" w:space="0" w:color="auto"/>
            </w:tcBorders>
            <w:shd w:val="clear" w:color="auto" w:fill="auto"/>
            <w:vAlign w:val="center"/>
            <w:hideMark/>
          </w:tcPr>
          <w:p w14:paraId="6CB52B02" w14:textId="77777777" w:rsidR="00AD3735" w:rsidRDefault="00AD3735">
            <w:pPr>
              <w:jc w:val="both"/>
              <w:rPr>
                <w:rFonts w:ascii="Arial" w:hAnsi="Arial" w:cs="Arial"/>
                <w:color w:val="333333"/>
                <w:sz w:val="20"/>
                <w:szCs w:val="20"/>
              </w:rPr>
            </w:pPr>
            <w:r>
              <w:rPr>
                <w:rFonts w:ascii="Arial" w:hAnsi="Arial" w:cs="Arial"/>
                <w:color w:val="333333"/>
                <w:sz w:val="20"/>
                <w:szCs w:val="20"/>
              </w:rPr>
              <w:t>Placa rede, padrão:pci-express , conectores:1 porta - rj-45, velocidade transferência:10/100/1000 mb/s, alimentação:da interface, deve suportar no mínimo os seguintes protocolos de dados: ieee 802.1q, ieee 802.3, ieee 802.1p, aplicação:conexão de microcomputadores à rede, incluso espelho perfil baixo "slim"</w:t>
            </w:r>
          </w:p>
        </w:tc>
        <w:tc>
          <w:tcPr>
            <w:tcW w:w="1155" w:type="dxa"/>
            <w:tcBorders>
              <w:top w:val="nil"/>
              <w:left w:val="nil"/>
              <w:bottom w:val="single" w:sz="4" w:space="0" w:color="auto"/>
              <w:right w:val="single" w:sz="4" w:space="0" w:color="auto"/>
            </w:tcBorders>
            <w:shd w:val="clear" w:color="auto" w:fill="auto"/>
            <w:vAlign w:val="center"/>
            <w:hideMark/>
          </w:tcPr>
          <w:p w14:paraId="7D3FDDEA"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16315352"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7D562742"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6D2D113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89,00 </w:t>
            </w:r>
          </w:p>
        </w:tc>
        <w:tc>
          <w:tcPr>
            <w:tcW w:w="1141" w:type="dxa"/>
            <w:tcBorders>
              <w:top w:val="nil"/>
              <w:left w:val="nil"/>
              <w:bottom w:val="single" w:sz="4" w:space="0" w:color="auto"/>
              <w:right w:val="single" w:sz="4" w:space="0" w:color="auto"/>
            </w:tcBorders>
            <w:shd w:val="clear" w:color="auto" w:fill="auto"/>
            <w:noWrap/>
            <w:vAlign w:val="center"/>
            <w:hideMark/>
          </w:tcPr>
          <w:p w14:paraId="74F9C60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2.670,00 </w:t>
            </w:r>
          </w:p>
        </w:tc>
      </w:tr>
      <w:tr w:rsidR="00AD3735" w14:paraId="062546DB"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C70A0B4" w14:textId="77777777" w:rsidR="00AD3735" w:rsidRDefault="00AD3735">
            <w:pPr>
              <w:jc w:val="center"/>
              <w:rPr>
                <w:rFonts w:ascii="Arial" w:hAnsi="Arial" w:cs="Arial"/>
                <w:color w:val="000000"/>
                <w:sz w:val="20"/>
                <w:szCs w:val="20"/>
              </w:rPr>
            </w:pPr>
            <w:r>
              <w:rPr>
                <w:rFonts w:ascii="Arial" w:hAnsi="Arial" w:cs="Arial"/>
                <w:color w:val="000000"/>
                <w:sz w:val="20"/>
                <w:szCs w:val="20"/>
              </w:rPr>
              <w:t>18</w:t>
            </w:r>
          </w:p>
        </w:tc>
        <w:tc>
          <w:tcPr>
            <w:tcW w:w="993" w:type="dxa"/>
            <w:tcBorders>
              <w:top w:val="nil"/>
              <w:left w:val="nil"/>
              <w:bottom w:val="single" w:sz="4" w:space="0" w:color="auto"/>
              <w:right w:val="single" w:sz="4" w:space="0" w:color="auto"/>
            </w:tcBorders>
            <w:shd w:val="clear" w:color="auto" w:fill="auto"/>
            <w:noWrap/>
            <w:vAlign w:val="center"/>
            <w:hideMark/>
          </w:tcPr>
          <w:p w14:paraId="57D1D662"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461621</w:t>
            </w:r>
          </w:p>
        </w:tc>
        <w:tc>
          <w:tcPr>
            <w:tcW w:w="7654" w:type="dxa"/>
            <w:tcBorders>
              <w:top w:val="nil"/>
              <w:left w:val="nil"/>
              <w:bottom w:val="single" w:sz="4" w:space="0" w:color="auto"/>
              <w:right w:val="single" w:sz="4" w:space="0" w:color="auto"/>
            </w:tcBorders>
            <w:shd w:val="clear" w:color="auto" w:fill="auto"/>
            <w:vAlign w:val="center"/>
            <w:hideMark/>
          </w:tcPr>
          <w:p w14:paraId="281A41E6" w14:textId="77777777" w:rsidR="00AD3735" w:rsidRDefault="00AD3735">
            <w:pPr>
              <w:jc w:val="both"/>
              <w:rPr>
                <w:rFonts w:ascii="Arial" w:hAnsi="Arial" w:cs="Arial"/>
                <w:color w:val="333333"/>
                <w:sz w:val="20"/>
                <w:szCs w:val="20"/>
              </w:rPr>
            </w:pPr>
            <w:r>
              <w:rPr>
                <w:rFonts w:ascii="Arial" w:hAnsi="Arial" w:cs="Arial"/>
                <w:color w:val="333333"/>
                <w:sz w:val="20"/>
                <w:szCs w:val="20"/>
              </w:rPr>
              <w:t>Placa de rede 10g rj45 10gbase t pci-e com as seguintes tecnologias mínimas  tecnologia de rede: 1000base-t, 10gbase-t  host interface: pci express v2.1 (5 gt/s) portas: 2x rj-45 cat 5e/6/6a chipset: intel x540-t2 interface: pcie x8 "wake on lan": sim,  incluso espelho perfil baixo "slim"</w:t>
            </w:r>
          </w:p>
        </w:tc>
        <w:tc>
          <w:tcPr>
            <w:tcW w:w="1155" w:type="dxa"/>
            <w:tcBorders>
              <w:top w:val="nil"/>
              <w:left w:val="nil"/>
              <w:bottom w:val="single" w:sz="4" w:space="0" w:color="auto"/>
              <w:right w:val="single" w:sz="4" w:space="0" w:color="auto"/>
            </w:tcBorders>
            <w:shd w:val="clear" w:color="auto" w:fill="auto"/>
            <w:vAlign w:val="center"/>
            <w:hideMark/>
          </w:tcPr>
          <w:p w14:paraId="125ED54C"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B2975B0"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6094B9CD" w14:textId="77777777" w:rsidR="00AD3735" w:rsidRDefault="00AD3735">
            <w:pPr>
              <w:jc w:val="center"/>
              <w:rPr>
                <w:rFonts w:ascii="Arial" w:hAnsi="Arial" w:cs="Arial"/>
                <w:color w:val="000000"/>
                <w:sz w:val="20"/>
                <w:szCs w:val="20"/>
              </w:rPr>
            </w:pPr>
            <w:r>
              <w:rPr>
                <w:rFonts w:ascii="Arial" w:hAnsi="Arial" w:cs="Arial"/>
                <w:color w:val="000000"/>
                <w:sz w:val="20"/>
                <w:szCs w:val="20"/>
              </w:rPr>
              <w:t>6</w:t>
            </w:r>
          </w:p>
        </w:tc>
        <w:tc>
          <w:tcPr>
            <w:tcW w:w="962" w:type="dxa"/>
            <w:tcBorders>
              <w:top w:val="nil"/>
              <w:left w:val="nil"/>
              <w:bottom w:val="single" w:sz="4" w:space="0" w:color="auto"/>
              <w:right w:val="single" w:sz="4" w:space="0" w:color="auto"/>
            </w:tcBorders>
            <w:shd w:val="clear" w:color="auto" w:fill="auto"/>
            <w:noWrap/>
            <w:vAlign w:val="center"/>
            <w:hideMark/>
          </w:tcPr>
          <w:p w14:paraId="44A8D7A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1.377,39 </w:t>
            </w:r>
          </w:p>
        </w:tc>
        <w:tc>
          <w:tcPr>
            <w:tcW w:w="1141" w:type="dxa"/>
            <w:tcBorders>
              <w:top w:val="nil"/>
              <w:left w:val="nil"/>
              <w:bottom w:val="single" w:sz="4" w:space="0" w:color="auto"/>
              <w:right w:val="single" w:sz="4" w:space="0" w:color="auto"/>
            </w:tcBorders>
            <w:shd w:val="clear" w:color="auto" w:fill="auto"/>
            <w:noWrap/>
            <w:vAlign w:val="center"/>
            <w:hideMark/>
          </w:tcPr>
          <w:p w14:paraId="1C65BD8B"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8.264,34 </w:t>
            </w:r>
          </w:p>
        </w:tc>
      </w:tr>
      <w:tr w:rsidR="00AD3735" w14:paraId="5EC9BAF8"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F1BEC5D" w14:textId="77777777" w:rsidR="00AD3735" w:rsidRDefault="00AD3735">
            <w:pPr>
              <w:jc w:val="center"/>
              <w:rPr>
                <w:rFonts w:ascii="Arial" w:hAnsi="Arial" w:cs="Arial"/>
                <w:color w:val="000000"/>
                <w:sz w:val="20"/>
                <w:szCs w:val="20"/>
              </w:rPr>
            </w:pPr>
            <w:r>
              <w:rPr>
                <w:rFonts w:ascii="Arial" w:hAnsi="Arial" w:cs="Arial"/>
                <w:color w:val="000000"/>
                <w:sz w:val="20"/>
                <w:szCs w:val="20"/>
              </w:rPr>
              <w:lastRenderedPageBreak/>
              <w:t>19</w:t>
            </w:r>
          </w:p>
        </w:tc>
        <w:tc>
          <w:tcPr>
            <w:tcW w:w="993" w:type="dxa"/>
            <w:tcBorders>
              <w:top w:val="nil"/>
              <w:left w:val="nil"/>
              <w:bottom w:val="single" w:sz="4" w:space="0" w:color="auto"/>
              <w:right w:val="single" w:sz="4" w:space="0" w:color="auto"/>
            </w:tcBorders>
            <w:shd w:val="clear" w:color="auto" w:fill="auto"/>
            <w:vAlign w:val="center"/>
            <w:hideMark/>
          </w:tcPr>
          <w:p w14:paraId="4D479D7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486619</w:t>
            </w:r>
          </w:p>
        </w:tc>
        <w:tc>
          <w:tcPr>
            <w:tcW w:w="7654" w:type="dxa"/>
            <w:tcBorders>
              <w:top w:val="nil"/>
              <w:left w:val="nil"/>
              <w:bottom w:val="single" w:sz="4" w:space="0" w:color="auto"/>
              <w:right w:val="single" w:sz="4" w:space="0" w:color="auto"/>
            </w:tcBorders>
            <w:shd w:val="clear" w:color="auto" w:fill="auto"/>
            <w:vAlign w:val="center"/>
            <w:hideMark/>
          </w:tcPr>
          <w:p w14:paraId="4F7033AC" w14:textId="77777777" w:rsidR="00AD3735" w:rsidRDefault="00AD3735">
            <w:pPr>
              <w:jc w:val="both"/>
              <w:rPr>
                <w:rFonts w:ascii="Arial" w:hAnsi="Arial" w:cs="Arial"/>
                <w:color w:val="333333"/>
                <w:sz w:val="20"/>
                <w:szCs w:val="20"/>
              </w:rPr>
            </w:pPr>
            <w:r>
              <w:rPr>
                <w:rFonts w:ascii="Arial" w:hAnsi="Arial" w:cs="Arial"/>
                <w:color w:val="333333"/>
                <w:sz w:val="20"/>
                <w:szCs w:val="20"/>
              </w:rPr>
              <w:t>Placa controladora vídeo, tamanho memória:2 gb, portas mínimas:1 dvi 1 hdmi, características adicionais:directx no mínimo 10.1, barramento: pci-e 3.0 gddr5, 64bit</w:t>
            </w:r>
          </w:p>
        </w:tc>
        <w:tc>
          <w:tcPr>
            <w:tcW w:w="1155" w:type="dxa"/>
            <w:tcBorders>
              <w:top w:val="nil"/>
              <w:left w:val="nil"/>
              <w:bottom w:val="single" w:sz="4" w:space="0" w:color="auto"/>
              <w:right w:val="single" w:sz="4" w:space="0" w:color="auto"/>
            </w:tcBorders>
            <w:shd w:val="clear" w:color="auto" w:fill="auto"/>
            <w:vAlign w:val="center"/>
            <w:hideMark/>
          </w:tcPr>
          <w:p w14:paraId="1E7B20BB"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74A37834"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3E474DAA"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507B467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558,65 </w:t>
            </w:r>
          </w:p>
        </w:tc>
        <w:tc>
          <w:tcPr>
            <w:tcW w:w="1141" w:type="dxa"/>
            <w:tcBorders>
              <w:top w:val="nil"/>
              <w:left w:val="nil"/>
              <w:bottom w:val="single" w:sz="4" w:space="0" w:color="auto"/>
              <w:right w:val="single" w:sz="4" w:space="0" w:color="auto"/>
            </w:tcBorders>
            <w:shd w:val="clear" w:color="auto" w:fill="auto"/>
            <w:noWrap/>
            <w:vAlign w:val="center"/>
            <w:hideMark/>
          </w:tcPr>
          <w:p w14:paraId="244AA5D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16.759,50 </w:t>
            </w:r>
          </w:p>
        </w:tc>
      </w:tr>
      <w:tr w:rsidR="00AD3735" w14:paraId="26EDB2A1" w14:textId="77777777" w:rsidTr="0017033F">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1691F5"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93" w:type="dxa"/>
            <w:tcBorders>
              <w:top w:val="nil"/>
              <w:left w:val="nil"/>
              <w:bottom w:val="single" w:sz="4" w:space="0" w:color="auto"/>
              <w:right w:val="single" w:sz="4" w:space="0" w:color="auto"/>
            </w:tcBorders>
            <w:shd w:val="clear" w:color="auto" w:fill="auto"/>
            <w:vAlign w:val="center"/>
            <w:hideMark/>
          </w:tcPr>
          <w:p w14:paraId="08EA6A5B"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617030</w:t>
            </w:r>
          </w:p>
        </w:tc>
        <w:tc>
          <w:tcPr>
            <w:tcW w:w="7654" w:type="dxa"/>
            <w:tcBorders>
              <w:top w:val="nil"/>
              <w:left w:val="nil"/>
              <w:bottom w:val="single" w:sz="4" w:space="0" w:color="auto"/>
              <w:right w:val="single" w:sz="4" w:space="0" w:color="auto"/>
            </w:tcBorders>
            <w:shd w:val="clear" w:color="auto" w:fill="auto"/>
            <w:vAlign w:val="center"/>
            <w:hideMark/>
          </w:tcPr>
          <w:p w14:paraId="23FECC66" w14:textId="77777777" w:rsidR="00AD3735" w:rsidRDefault="00AD3735">
            <w:pPr>
              <w:jc w:val="both"/>
              <w:rPr>
                <w:rFonts w:ascii="Arial" w:hAnsi="Arial" w:cs="Arial"/>
                <w:color w:val="000000"/>
                <w:sz w:val="20"/>
                <w:szCs w:val="20"/>
              </w:rPr>
            </w:pPr>
            <w:r>
              <w:rPr>
                <w:rFonts w:ascii="Arial" w:hAnsi="Arial" w:cs="Arial"/>
                <w:color w:val="000000"/>
                <w:sz w:val="20"/>
                <w:szCs w:val="20"/>
              </w:rPr>
              <w:t>Fonte alimentação, formato atx, 110/220v, potência 500 w, requisitos mínimos de cabos de conexão: 1 x conector atx 24 pinos / 1 x conector eps 8 pinos / 2 x conectores pcie 6 + 2 pinos / 2 x conectores molex 4 pinos / 7 x conectores sata, certificação mínima: 80 plus bronze, proteções mínimas: ovp, opp, ocp, scp</w:t>
            </w:r>
          </w:p>
        </w:tc>
        <w:tc>
          <w:tcPr>
            <w:tcW w:w="1155" w:type="dxa"/>
            <w:tcBorders>
              <w:top w:val="nil"/>
              <w:left w:val="nil"/>
              <w:bottom w:val="single" w:sz="4" w:space="0" w:color="auto"/>
              <w:right w:val="single" w:sz="4" w:space="0" w:color="auto"/>
            </w:tcBorders>
            <w:shd w:val="clear" w:color="auto" w:fill="auto"/>
            <w:vAlign w:val="center"/>
            <w:hideMark/>
          </w:tcPr>
          <w:p w14:paraId="00F42665"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3171B327"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71F2BD6D" w14:textId="77777777" w:rsidR="00AD3735" w:rsidRDefault="00AD3735">
            <w:pPr>
              <w:jc w:val="center"/>
              <w:rPr>
                <w:rFonts w:ascii="Arial" w:hAnsi="Arial" w:cs="Arial"/>
                <w:color w:val="000000"/>
                <w:sz w:val="20"/>
                <w:szCs w:val="20"/>
              </w:rPr>
            </w:pPr>
            <w:r>
              <w:rPr>
                <w:rFonts w:ascii="Arial" w:hAnsi="Arial" w:cs="Arial"/>
                <w:color w:val="000000"/>
                <w:sz w:val="20"/>
                <w:szCs w:val="20"/>
              </w:rPr>
              <w:t>50</w:t>
            </w:r>
          </w:p>
        </w:tc>
        <w:tc>
          <w:tcPr>
            <w:tcW w:w="962" w:type="dxa"/>
            <w:tcBorders>
              <w:top w:val="nil"/>
              <w:left w:val="nil"/>
              <w:bottom w:val="single" w:sz="4" w:space="0" w:color="auto"/>
              <w:right w:val="single" w:sz="4" w:space="0" w:color="auto"/>
            </w:tcBorders>
            <w:shd w:val="clear" w:color="auto" w:fill="auto"/>
            <w:noWrap/>
            <w:vAlign w:val="center"/>
            <w:hideMark/>
          </w:tcPr>
          <w:p w14:paraId="0859F74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255,70 </w:t>
            </w:r>
          </w:p>
        </w:tc>
        <w:tc>
          <w:tcPr>
            <w:tcW w:w="1141" w:type="dxa"/>
            <w:tcBorders>
              <w:top w:val="nil"/>
              <w:left w:val="nil"/>
              <w:bottom w:val="single" w:sz="4" w:space="0" w:color="auto"/>
              <w:right w:val="single" w:sz="4" w:space="0" w:color="auto"/>
            </w:tcBorders>
            <w:shd w:val="clear" w:color="auto" w:fill="auto"/>
            <w:noWrap/>
            <w:vAlign w:val="center"/>
            <w:hideMark/>
          </w:tcPr>
          <w:p w14:paraId="7E6FED40"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12.785,00 </w:t>
            </w:r>
          </w:p>
        </w:tc>
      </w:tr>
      <w:tr w:rsidR="00AD3735" w14:paraId="2420D74F" w14:textId="77777777" w:rsidTr="0017033F">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EA8011" w14:textId="77777777" w:rsidR="00AD3735" w:rsidRDefault="00AD3735">
            <w:pPr>
              <w:jc w:val="center"/>
              <w:rPr>
                <w:rFonts w:ascii="Arial" w:hAnsi="Arial" w:cs="Arial"/>
                <w:color w:val="000000"/>
                <w:sz w:val="20"/>
                <w:szCs w:val="20"/>
              </w:rPr>
            </w:pPr>
            <w:r>
              <w:rPr>
                <w:rFonts w:ascii="Arial" w:hAnsi="Arial" w:cs="Arial"/>
                <w:color w:val="000000"/>
                <w:sz w:val="20"/>
                <w:szCs w:val="20"/>
              </w:rPr>
              <w:t>21</w:t>
            </w:r>
          </w:p>
        </w:tc>
        <w:tc>
          <w:tcPr>
            <w:tcW w:w="993" w:type="dxa"/>
            <w:tcBorders>
              <w:top w:val="nil"/>
              <w:left w:val="nil"/>
              <w:bottom w:val="single" w:sz="4" w:space="0" w:color="auto"/>
              <w:right w:val="single" w:sz="4" w:space="0" w:color="auto"/>
            </w:tcBorders>
            <w:shd w:val="clear" w:color="auto" w:fill="auto"/>
            <w:vAlign w:val="center"/>
            <w:hideMark/>
          </w:tcPr>
          <w:p w14:paraId="4A3FBAC8"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614404</w:t>
            </w:r>
          </w:p>
        </w:tc>
        <w:tc>
          <w:tcPr>
            <w:tcW w:w="7654" w:type="dxa"/>
            <w:tcBorders>
              <w:top w:val="nil"/>
              <w:left w:val="nil"/>
              <w:bottom w:val="single" w:sz="4" w:space="0" w:color="auto"/>
              <w:right w:val="single" w:sz="4" w:space="0" w:color="auto"/>
            </w:tcBorders>
            <w:shd w:val="clear" w:color="auto" w:fill="auto"/>
            <w:vAlign w:val="center"/>
            <w:hideMark/>
          </w:tcPr>
          <w:p w14:paraId="09ED63C0" w14:textId="77777777" w:rsidR="00AD3735" w:rsidRDefault="00AD3735">
            <w:pPr>
              <w:jc w:val="both"/>
              <w:rPr>
                <w:rFonts w:ascii="Arial" w:hAnsi="Arial" w:cs="Arial"/>
                <w:color w:val="000000"/>
                <w:sz w:val="20"/>
                <w:szCs w:val="20"/>
              </w:rPr>
            </w:pPr>
            <w:r>
              <w:rPr>
                <w:rFonts w:ascii="Arial" w:hAnsi="Arial" w:cs="Arial"/>
                <w:color w:val="000000"/>
                <w:sz w:val="20"/>
                <w:szCs w:val="20"/>
              </w:rPr>
              <w:t>Nobreak potência:  600va/ 300watts, bivolt, tensão nominal de saída: 115v. Tipo de bateria: bateria selada chumbo-acido livre de manutenção : a prova de vazamento; vida útil esperada das baterias: 1 - 2 anos; isso 9001, minímo de  4x tomadas nbr 14136, eficiência em carga total: mínimo de 90.0 %, 60hz</w:t>
            </w:r>
          </w:p>
        </w:tc>
        <w:tc>
          <w:tcPr>
            <w:tcW w:w="1155" w:type="dxa"/>
            <w:tcBorders>
              <w:top w:val="nil"/>
              <w:left w:val="nil"/>
              <w:bottom w:val="single" w:sz="4" w:space="0" w:color="auto"/>
              <w:right w:val="single" w:sz="4" w:space="0" w:color="auto"/>
            </w:tcBorders>
            <w:shd w:val="clear" w:color="auto" w:fill="auto"/>
            <w:vAlign w:val="center"/>
            <w:hideMark/>
          </w:tcPr>
          <w:p w14:paraId="73186F19"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0B6B14B0"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26054821"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33ACE990"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759,00 </w:t>
            </w:r>
          </w:p>
        </w:tc>
        <w:tc>
          <w:tcPr>
            <w:tcW w:w="1141" w:type="dxa"/>
            <w:tcBorders>
              <w:top w:val="nil"/>
              <w:left w:val="nil"/>
              <w:bottom w:val="single" w:sz="4" w:space="0" w:color="auto"/>
              <w:right w:val="single" w:sz="4" w:space="0" w:color="auto"/>
            </w:tcBorders>
            <w:shd w:val="clear" w:color="auto" w:fill="auto"/>
            <w:noWrap/>
            <w:vAlign w:val="center"/>
            <w:hideMark/>
          </w:tcPr>
          <w:p w14:paraId="0B890F6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22.770,00 </w:t>
            </w:r>
          </w:p>
        </w:tc>
      </w:tr>
      <w:tr w:rsidR="00AD3735" w14:paraId="507718CD"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F0B2F7" w14:textId="77777777" w:rsidR="00AD3735" w:rsidRDefault="00AD3735">
            <w:pPr>
              <w:jc w:val="center"/>
              <w:rPr>
                <w:rFonts w:ascii="Arial" w:hAnsi="Arial" w:cs="Arial"/>
                <w:color w:val="000000"/>
                <w:sz w:val="20"/>
                <w:szCs w:val="20"/>
              </w:rPr>
            </w:pPr>
            <w:r>
              <w:rPr>
                <w:rFonts w:ascii="Arial" w:hAnsi="Arial" w:cs="Arial"/>
                <w:color w:val="000000"/>
                <w:sz w:val="20"/>
                <w:szCs w:val="20"/>
              </w:rPr>
              <w:t>22</w:t>
            </w:r>
          </w:p>
        </w:tc>
        <w:tc>
          <w:tcPr>
            <w:tcW w:w="993" w:type="dxa"/>
            <w:tcBorders>
              <w:top w:val="nil"/>
              <w:left w:val="nil"/>
              <w:bottom w:val="single" w:sz="4" w:space="0" w:color="auto"/>
              <w:right w:val="single" w:sz="4" w:space="0" w:color="auto"/>
            </w:tcBorders>
            <w:shd w:val="clear" w:color="auto" w:fill="auto"/>
            <w:noWrap/>
            <w:vAlign w:val="center"/>
            <w:hideMark/>
          </w:tcPr>
          <w:p w14:paraId="1F0E693A"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611353</w:t>
            </w:r>
          </w:p>
        </w:tc>
        <w:tc>
          <w:tcPr>
            <w:tcW w:w="7654" w:type="dxa"/>
            <w:tcBorders>
              <w:top w:val="nil"/>
              <w:left w:val="nil"/>
              <w:bottom w:val="single" w:sz="4" w:space="0" w:color="auto"/>
              <w:right w:val="single" w:sz="4" w:space="0" w:color="auto"/>
            </w:tcBorders>
            <w:shd w:val="clear" w:color="auto" w:fill="auto"/>
            <w:vAlign w:val="center"/>
            <w:hideMark/>
          </w:tcPr>
          <w:p w14:paraId="06E79217" w14:textId="77777777" w:rsidR="00AD3735" w:rsidRDefault="00AD3735">
            <w:pPr>
              <w:jc w:val="both"/>
              <w:rPr>
                <w:rFonts w:ascii="Arial" w:hAnsi="Arial" w:cs="Arial"/>
                <w:color w:val="000000"/>
                <w:sz w:val="20"/>
                <w:szCs w:val="20"/>
              </w:rPr>
            </w:pPr>
            <w:r>
              <w:rPr>
                <w:rFonts w:ascii="Arial" w:hAnsi="Arial" w:cs="Arial"/>
                <w:color w:val="000000"/>
                <w:sz w:val="20"/>
                <w:szCs w:val="20"/>
              </w:rPr>
              <w:t>Bateria de nobreak, 12v, 7ah, tipo de bateria: bateria selada chumbo-acido livre de manutenção : a prova de vazamento, compatível com o equipamento ofertado no item 21</w:t>
            </w:r>
          </w:p>
        </w:tc>
        <w:tc>
          <w:tcPr>
            <w:tcW w:w="1155" w:type="dxa"/>
            <w:tcBorders>
              <w:top w:val="nil"/>
              <w:left w:val="nil"/>
              <w:bottom w:val="single" w:sz="4" w:space="0" w:color="auto"/>
              <w:right w:val="single" w:sz="4" w:space="0" w:color="auto"/>
            </w:tcBorders>
            <w:shd w:val="clear" w:color="auto" w:fill="auto"/>
            <w:vAlign w:val="center"/>
            <w:hideMark/>
          </w:tcPr>
          <w:p w14:paraId="7CDC42C9"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28FB0F55"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42880286"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76D5B5EE"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154,25 </w:t>
            </w:r>
          </w:p>
        </w:tc>
        <w:tc>
          <w:tcPr>
            <w:tcW w:w="1141" w:type="dxa"/>
            <w:tcBorders>
              <w:top w:val="nil"/>
              <w:left w:val="nil"/>
              <w:bottom w:val="single" w:sz="4" w:space="0" w:color="auto"/>
              <w:right w:val="single" w:sz="4" w:space="0" w:color="auto"/>
            </w:tcBorders>
            <w:shd w:val="clear" w:color="auto" w:fill="auto"/>
            <w:noWrap/>
            <w:vAlign w:val="center"/>
            <w:hideMark/>
          </w:tcPr>
          <w:p w14:paraId="7FB150D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3.085,00 </w:t>
            </w:r>
          </w:p>
        </w:tc>
      </w:tr>
      <w:tr w:rsidR="00AD3735" w14:paraId="09CC4AFB"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3FF6271" w14:textId="77777777" w:rsidR="00AD3735" w:rsidRDefault="00AD3735">
            <w:pPr>
              <w:jc w:val="center"/>
              <w:rPr>
                <w:rFonts w:ascii="Arial" w:hAnsi="Arial" w:cs="Arial"/>
                <w:color w:val="000000"/>
                <w:sz w:val="20"/>
                <w:szCs w:val="20"/>
              </w:rPr>
            </w:pPr>
            <w:r>
              <w:rPr>
                <w:rFonts w:ascii="Arial" w:hAnsi="Arial" w:cs="Arial"/>
                <w:color w:val="000000"/>
                <w:sz w:val="20"/>
                <w:szCs w:val="20"/>
              </w:rPr>
              <w:t>23</w:t>
            </w:r>
          </w:p>
        </w:tc>
        <w:tc>
          <w:tcPr>
            <w:tcW w:w="993" w:type="dxa"/>
            <w:tcBorders>
              <w:top w:val="nil"/>
              <w:left w:val="nil"/>
              <w:bottom w:val="single" w:sz="4" w:space="0" w:color="auto"/>
              <w:right w:val="single" w:sz="4" w:space="0" w:color="auto"/>
            </w:tcBorders>
            <w:shd w:val="clear" w:color="auto" w:fill="auto"/>
            <w:vAlign w:val="center"/>
            <w:hideMark/>
          </w:tcPr>
          <w:p w14:paraId="77704717"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416147</w:t>
            </w:r>
          </w:p>
        </w:tc>
        <w:tc>
          <w:tcPr>
            <w:tcW w:w="7654" w:type="dxa"/>
            <w:tcBorders>
              <w:top w:val="nil"/>
              <w:left w:val="nil"/>
              <w:bottom w:val="single" w:sz="4" w:space="0" w:color="auto"/>
              <w:right w:val="single" w:sz="4" w:space="0" w:color="auto"/>
            </w:tcBorders>
            <w:shd w:val="clear" w:color="auto" w:fill="auto"/>
            <w:vAlign w:val="center"/>
            <w:hideMark/>
          </w:tcPr>
          <w:p w14:paraId="2964267B"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Filtro de linha, com proteção para picos de energia dps iii, bivolt, fusível extra incluso, mínimo de 5 tomadas 2 p + t 10a, tomadas extras: no mínimo 1 tomada universal + 1 entrada tipo usb </w:t>
            </w:r>
          </w:p>
        </w:tc>
        <w:tc>
          <w:tcPr>
            <w:tcW w:w="1155" w:type="dxa"/>
            <w:tcBorders>
              <w:top w:val="nil"/>
              <w:left w:val="nil"/>
              <w:bottom w:val="single" w:sz="4" w:space="0" w:color="auto"/>
              <w:right w:val="single" w:sz="4" w:space="0" w:color="auto"/>
            </w:tcBorders>
            <w:shd w:val="clear" w:color="auto" w:fill="auto"/>
            <w:vAlign w:val="center"/>
            <w:hideMark/>
          </w:tcPr>
          <w:p w14:paraId="02251088"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62F7EEB2"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5C8D12D5" w14:textId="77777777" w:rsidR="00AD3735" w:rsidRDefault="00AD3735">
            <w:pPr>
              <w:jc w:val="center"/>
              <w:rPr>
                <w:rFonts w:ascii="Arial" w:hAnsi="Arial" w:cs="Arial"/>
                <w:color w:val="000000"/>
                <w:sz w:val="20"/>
                <w:szCs w:val="20"/>
              </w:rPr>
            </w:pPr>
            <w:r>
              <w:rPr>
                <w:rFonts w:ascii="Arial" w:hAnsi="Arial" w:cs="Arial"/>
                <w:color w:val="000000"/>
                <w:sz w:val="20"/>
                <w:szCs w:val="20"/>
              </w:rPr>
              <w:t>100</w:t>
            </w:r>
          </w:p>
        </w:tc>
        <w:tc>
          <w:tcPr>
            <w:tcW w:w="962" w:type="dxa"/>
            <w:tcBorders>
              <w:top w:val="nil"/>
              <w:left w:val="nil"/>
              <w:bottom w:val="single" w:sz="4" w:space="0" w:color="auto"/>
              <w:right w:val="single" w:sz="4" w:space="0" w:color="auto"/>
            </w:tcBorders>
            <w:shd w:val="clear" w:color="auto" w:fill="auto"/>
            <w:noWrap/>
            <w:vAlign w:val="center"/>
            <w:hideMark/>
          </w:tcPr>
          <w:p w14:paraId="2B186300"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69,99 </w:t>
            </w:r>
          </w:p>
        </w:tc>
        <w:tc>
          <w:tcPr>
            <w:tcW w:w="1141" w:type="dxa"/>
            <w:tcBorders>
              <w:top w:val="nil"/>
              <w:left w:val="nil"/>
              <w:bottom w:val="single" w:sz="4" w:space="0" w:color="auto"/>
              <w:right w:val="single" w:sz="4" w:space="0" w:color="auto"/>
            </w:tcBorders>
            <w:shd w:val="clear" w:color="auto" w:fill="auto"/>
            <w:noWrap/>
            <w:vAlign w:val="center"/>
            <w:hideMark/>
          </w:tcPr>
          <w:p w14:paraId="619AC6DF"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6.999,00 </w:t>
            </w:r>
          </w:p>
        </w:tc>
      </w:tr>
      <w:tr w:rsidR="00AD3735" w14:paraId="276E95E6"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653D39" w14:textId="77777777" w:rsidR="00AD3735" w:rsidRDefault="00AD3735">
            <w:pPr>
              <w:jc w:val="center"/>
              <w:rPr>
                <w:rFonts w:ascii="Arial" w:hAnsi="Arial" w:cs="Arial"/>
                <w:color w:val="000000"/>
                <w:sz w:val="20"/>
                <w:szCs w:val="20"/>
              </w:rPr>
            </w:pPr>
            <w:r>
              <w:rPr>
                <w:rFonts w:ascii="Arial" w:hAnsi="Arial" w:cs="Arial"/>
                <w:color w:val="000000"/>
                <w:sz w:val="20"/>
                <w:szCs w:val="20"/>
              </w:rPr>
              <w:t>24</w:t>
            </w:r>
          </w:p>
        </w:tc>
        <w:tc>
          <w:tcPr>
            <w:tcW w:w="993" w:type="dxa"/>
            <w:tcBorders>
              <w:top w:val="nil"/>
              <w:left w:val="nil"/>
              <w:bottom w:val="single" w:sz="4" w:space="0" w:color="auto"/>
              <w:right w:val="single" w:sz="4" w:space="0" w:color="auto"/>
            </w:tcBorders>
            <w:shd w:val="clear" w:color="auto" w:fill="auto"/>
            <w:vAlign w:val="center"/>
            <w:hideMark/>
          </w:tcPr>
          <w:p w14:paraId="2FEA9CD5"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615803</w:t>
            </w:r>
          </w:p>
        </w:tc>
        <w:tc>
          <w:tcPr>
            <w:tcW w:w="7654" w:type="dxa"/>
            <w:tcBorders>
              <w:top w:val="nil"/>
              <w:left w:val="nil"/>
              <w:bottom w:val="single" w:sz="4" w:space="0" w:color="auto"/>
              <w:right w:val="single" w:sz="4" w:space="0" w:color="auto"/>
            </w:tcBorders>
            <w:shd w:val="clear" w:color="auto" w:fill="auto"/>
            <w:vAlign w:val="center"/>
            <w:hideMark/>
          </w:tcPr>
          <w:p w14:paraId="568F6B39" w14:textId="77777777" w:rsidR="00AD3735" w:rsidRDefault="00AD3735">
            <w:pPr>
              <w:jc w:val="both"/>
              <w:rPr>
                <w:rFonts w:ascii="Arial" w:hAnsi="Arial" w:cs="Arial"/>
                <w:color w:val="000000"/>
                <w:sz w:val="20"/>
                <w:szCs w:val="20"/>
              </w:rPr>
            </w:pPr>
            <w:r>
              <w:rPr>
                <w:rFonts w:ascii="Arial" w:hAnsi="Arial" w:cs="Arial"/>
                <w:color w:val="000000"/>
                <w:sz w:val="20"/>
                <w:szCs w:val="20"/>
              </w:rPr>
              <w:t>Suporte para monitor em aço, compatível com monitores led, lcd de até 27 polegadas até 7kgs. Padrão vesa 75 x 75 e 100 x 100. Com ajuste de altura e inclinação</w:t>
            </w:r>
          </w:p>
        </w:tc>
        <w:tc>
          <w:tcPr>
            <w:tcW w:w="1155" w:type="dxa"/>
            <w:tcBorders>
              <w:top w:val="nil"/>
              <w:left w:val="nil"/>
              <w:bottom w:val="single" w:sz="4" w:space="0" w:color="auto"/>
              <w:right w:val="single" w:sz="4" w:space="0" w:color="auto"/>
            </w:tcBorders>
            <w:shd w:val="clear" w:color="auto" w:fill="auto"/>
            <w:vAlign w:val="center"/>
            <w:hideMark/>
          </w:tcPr>
          <w:p w14:paraId="57114D5C"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4DD1B297"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00BD217A" w14:textId="77777777" w:rsidR="00AD3735" w:rsidRDefault="00AD3735">
            <w:pPr>
              <w:jc w:val="center"/>
              <w:rPr>
                <w:rFonts w:ascii="Arial" w:hAnsi="Arial" w:cs="Arial"/>
                <w:color w:val="000000"/>
                <w:sz w:val="20"/>
                <w:szCs w:val="20"/>
              </w:rPr>
            </w:pPr>
            <w:r>
              <w:rPr>
                <w:rFonts w:ascii="Arial" w:hAnsi="Arial" w:cs="Arial"/>
                <w:color w:val="000000"/>
                <w:sz w:val="20"/>
                <w:szCs w:val="20"/>
              </w:rPr>
              <w:t>50</w:t>
            </w:r>
          </w:p>
        </w:tc>
        <w:tc>
          <w:tcPr>
            <w:tcW w:w="962" w:type="dxa"/>
            <w:tcBorders>
              <w:top w:val="nil"/>
              <w:left w:val="nil"/>
              <w:bottom w:val="single" w:sz="4" w:space="0" w:color="auto"/>
              <w:right w:val="single" w:sz="4" w:space="0" w:color="auto"/>
            </w:tcBorders>
            <w:shd w:val="clear" w:color="auto" w:fill="auto"/>
            <w:noWrap/>
            <w:vAlign w:val="center"/>
            <w:hideMark/>
          </w:tcPr>
          <w:p w14:paraId="72B9F7E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154,33 </w:t>
            </w:r>
          </w:p>
        </w:tc>
        <w:tc>
          <w:tcPr>
            <w:tcW w:w="1141" w:type="dxa"/>
            <w:tcBorders>
              <w:top w:val="nil"/>
              <w:left w:val="nil"/>
              <w:bottom w:val="single" w:sz="4" w:space="0" w:color="auto"/>
              <w:right w:val="single" w:sz="4" w:space="0" w:color="auto"/>
            </w:tcBorders>
            <w:shd w:val="clear" w:color="auto" w:fill="auto"/>
            <w:noWrap/>
            <w:vAlign w:val="center"/>
            <w:hideMark/>
          </w:tcPr>
          <w:p w14:paraId="6367FD5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7.716,50 </w:t>
            </w:r>
          </w:p>
        </w:tc>
      </w:tr>
      <w:tr w:rsidR="00AD3735" w14:paraId="3FF45E3E"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79613C" w14:textId="77777777" w:rsidR="00AD3735" w:rsidRDefault="00AD3735">
            <w:pPr>
              <w:jc w:val="center"/>
              <w:rPr>
                <w:rFonts w:ascii="Arial" w:hAnsi="Arial" w:cs="Arial"/>
                <w:color w:val="000000"/>
                <w:sz w:val="20"/>
                <w:szCs w:val="20"/>
              </w:rPr>
            </w:pPr>
            <w:r>
              <w:rPr>
                <w:rFonts w:ascii="Arial" w:hAnsi="Arial" w:cs="Arial"/>
                <w:color w:val="000000"/>
                <w:sz w:val="20"/>
                <w:szCs w:val="20"/>
              </w:rPr>
              <w:t>25</w:t>
            </w:r>
          </w:p>
        </w:tc>
        <w:tc>
          <w:tcPr>
            <w:tcW w:w="993" w:type="dxa"/>
            <w:tcBorders>
              <w:top w:val="nil"/>
              <w:left w:val="nil"/>
              <w:bottom w:val="single" w:sz="4" w:space="0" w:color="auto"/>
              <w:right w:val="single" w:sz="4" w:space="0" w:color="auto"/>
            </w:tcBorders>
            <w:shd w:val="clear" w:color="auto" w:fill="auto"/>
            <w:vAlign w:val="center"/>
            <w:hideMark/>
          </w:tcPr>
          <w:p w14:paraId="43941BFB"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478208</w:t>
            </w:r>
          </w:p>
        </w:tc>
        <w:tc>
          <w:tcPr>
            <w:tcW w:w="7654" w:type="dxa"/>
            <w:tcBorders>
              <w:top w:val="nil"/>
              <w:left w:val="nil"/>
              <w:bottom w:val="single" w:sz="4" w:space="0" w:color="auto"/>
              <w:right w:val="single" w:sz="4" w:space="0" w:color="auto"/>
            </w:tcBorders>
            <w:shd w:val="clear" w:color="auto" w:fill="auto"/>
            <w:vAlign w:val="center"/>
            <w:hideMark/>
          </w:tcPr>
          <w:p w14:paraId="24023637" w14:textId="77777777" w:rsidR="00AD3735" w:rsidRDefault="00AD3735">
            <w:pPr>
              <w:jc w:val="both"/>
              <w:rPr>
                <w:rFonts w:ascii="Arial" w:hAnsi="Arial" w:cs="Arial"/>
                <w:color w:val="000000"/>
                <w:sz w:val="20"/>
                <w:szCs w:val="20"/>
              </w:rPr>
            </w:pPr>
            <w:r>
              <w:rPr>
                <w:rFonts w:ascii="Arial" w:hAnsi="Arial" w:cs="Arial"/>
                <w:color w:val="000000"/>
                <w:sz w:val="20"/>
                <w:szCs w:val="20"/>
              </w:rPr>
              <w:t>Webcam full hd 1920 x 1080 pixels com microfones duplos com redução de ruídos, proteção de privacidade, correção de luz e enquadramento automático, com tripe ou fixação no monitor, conexão usb</w:t>
            </w:r>
          </w:p>
        </w:tc>
        <w:tc>
          <w:tcPr>
            <w:tcW w:w="1155" w:type="dxa"/>
            <w:tcBorders>
              <w:top w:val="nil"/>
              <w:left w:val="nil"/>
              <w:bottom w:val="single" w:sz="4" w:space="0" w:color="auto"/>
              <w:right w:val="single" w:sz="4" w:space="0" w:color="auto"/>
            </w:tcBorders>
            <w:shd w:val="clear" w:color="auto" w:fill="auto"/>
            <w:vAlign w:val="center"/>
            <w:hideMark/>
          </w:tcPr>
          <w:p w14:paraId="03E6A125"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41C0AEA8"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17F92EF0" w14:textId="77777777" w:rsidR="00AD3735" w:rsidRDefault="00AD3735">
            <w:pPr>
              <w:jc w:val="center"/>
              <w:rPr>
                <w:rFonts w:ascii="Arial" w:hAnsi="Arial" w:cs="Arial"/>
                <w:color w:val="000000"/>
                <w:sz w:val="20"/>
                <w:szCs w:val="20"/>
              </w:rPr>
            </w:pPr>
            <w:r>
              <w:rPr>
                <w:rFonts w:ascii="Arial" w:hAnsi="Arial" w:cs="Arial"/>
                <w:color w:val="000000"/>
                <w:sz w:val="20"/>
                <w:szCs w:val="20"/>
              </w:rPr>
              <w:t>15</w:t>
            </w:r>
          </w:p>
        </w:tc>
        <w:tc>
          <w:tcPr>
            <w:tcW w:w="962" w:type="dxa"/>
            <w:tcBorders>
              <w:top w:val="nil"/>
              <w:left w:val="nil"/>
              <w:bottom w:val="single" w:sz="4" w:space="0" w:color="auto"/>
              <w:right w:val="single" w:sz="4" w:space="0" w:color="auto"/>
            </w:tcBorders>
            <w:shd w:val="clear" w:color="auto" w:fill="auto"/>
            <w:noWrap/>
            <w:vAlign w:val="center"/>
            <w:hideMark/>
          </w:tcPr>
          <w:p w14:paraId="4D8A60BD"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550,00 </w:t>
            </w:r>
          </w:p>
        </w:tc>
        <w:tc>
          <w:tcPr>
            <w:tcW w:w="1141" w:type="dxa"/>
            <w:tcBorders>
              <w:top w:val="nil"/>
              <w:left w:val="nil"/>
              <w:bottom w:val="single" w:sz="4" w:space="0" w:color="auto"/>
              <w:right w:val="single" w:sz="4" w:space="0" w:color="auto"/>
            </w:tcBorders>
            <w:shd w:val="clear" w:color="auto" w:fill="auto"/>
            <w:noWrap/>
            <w:vAlign w:val="center"/>
            <w:hideMark/>
          </w:tcPr>
          <w:p w14:paraId="50AE0B4D"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8.250,00 </w:t>
            </w:r>
          </w:p>
        </w:tc>
      </w:tr>
      <w:tr w:rsidR="00AD3735" w14:paraId="71B57583"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D03F20" w14:textId="77777777" w:rsidR="00AD3735" w:rsidRDefault="00AD3735">
            <w:pPr>
              <w:jc w:val="center"/>
              <w:rPr>
                <w:rFonts w:ascii="Arial" w:hAnsi="Arial" w:cs="Arial"/>
                <w:color w:val="000000"/>
                <w:sz w:val="20"/>
                <w:szCs w:val="20"/>
              </w:rPr>
            </w:pPr>
            <w:r>
              <w:rPr>
                <w:rFonts w:ascii="Arial" w:hAnsi="Arial" w:cs="Arial"/>
                <w:color w:val="000000"/>
                <w:sz w:val="20"/>
                <w:szCs w:val="20"/>
              </w:rPr>
              <w:t>26</w:t>
            </w:r>
          </w:p>
        </w:tc>
        <w:tc>
          <w:tcPr>
            <w:tcW w:w="993" w:type="dxa"/>
            <w:tcBorders>
              <w:top w:val="nil"/>
              <w:left w:val="nil"/>
              <w:bottom w:val="single" w:sz="4" w:space="0" w:color="auto"/>
              <w:right w:val="single" w:sz="4" w:space="0" w:color="auto"/>
            </w:tcBorders>
            <w:shd w:val="clear" w:color="auto" w:fill="auto"/>
            <w:vAlign w:val="center"/>
            <w:hideMark/>
          </w:tcPr>
          <w:p w14:paraId="7C1276DA"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451817</w:t>
            </w:r>
          </w:p>
        </w:tc>
        <w:tc>
          <w:tcPr>
            <w:tcW w:w="7654" w:type="dxa"/>
            <w:tcBorders>
              <w:top w:val="nil"/>
              <w:left w:val="nil"/>
              <w:bottom w:val="single" w:sz="4" w:space="0" w:color="auto"/>
              <w:right w:val="single" w:sz="4" w:space="0" w:color="auto"/>
            </w:tcBorders>
            <w:shd w:val="clear" w:color="auto" w:fill="auto"/>
            <w:vAlign w:val="center"/>
            <w:hideMark/>
          </w:tcPr>
          <w:p w14:paraId="6B668D4B" w14:textId="77777777" w:rsidR="00AD3735" w:rsidRDefault="00AD3735">
            <w:pPr>
              <w:jc w:val="both"/>
              <w:rPr>
                <w:rFonts w:ascii="Arial" w:hAnsi="Arial" w:cs="Arial"/>
                <w:color w:val="000000"/>
                <w:sz w:val="20"/>
                <w:szCs w:val="20"/>
              </w:rPr>
            </w:pPr>
            <w:r>
              <w:rPr>
                <w:rFonts w:ascii="Arial" w:hAnsi="Arial" w:cs="Arial"/>
                <w:color w:val="000000"/>
                <w:sz w:val="20"/>
                <w:szCs w:val="20"/>
              </w:rPr>
              <w:t>Teclado com fio usb , resistente à respingos, barra de espaço curva, compatível com pc e notebook, layout abnt2, plug and play, possuir teclas de atalho: volume, mudo, leitura/pausa, retrocesso, avanço: estilo de teclas: chiclette, cor:preto, com função "num lock"</w:t>
            </w:r>
          </w:p>
        </w:tc>
        <w:tc>
          <w:tcPr>
            <w:tcW w:w="1155" w:type="dxa"/>
            <w:tcBorders>
              <w:top w:val="nil"/>
              <w:left w:val="nil"/>
              <w:bottom w:val="single" w:sz="4" w:space="0" w:color="auto"/>
              <w:right w:val="single" w:sz="4" w:space="0" w:color="auto"/>
            </w:tcBorders>
            <w:shd w:val="clear" w:color="auto" w:fill="auto"/>
            <w:vAlign w:val="center"/>
            <w:hideMark/>
          </w:tcPr>
          <w:p w14:paraId="58475913"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44311E38"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2B612EE6" w14:textId="77777777" w:rsidR="00AD3735" w:rsidRDefault="00AD3735">
            <w:pPr>
              <w:jc w:val="center"/>
              <w:rPr>
                <w:rFonts w:ascii="Arial" w:hAnsi="Arial" w:cs="Arial"/>
                <w:color w:val="000000"/>
                <w:sz w:val="20"/>
                <w:szCs w:val="20"/>
              </w:rPr>
            </w:pPr>
            <w:r>
              <w:rPr>
                <w:rFonts w:ascii="Arial" w:hAnsi="Arial" w:cs="Arial"/>
                <w:color w:val="000000"/>
                <w:sz w:val="20"/>
                <w:szCs w:val="20"/>
              </w:rPr>
              <w:t>50</w:t>
            </w:r>
          </w:p>
        </w:tc>
        <w:tc>
          <w:tcPr>
            <w:tcW w:w="962" w:type="dxa"/>
            <w:tcBorders>
              <w:top w:val="nil"/>
              <w:left w:val="nil"/>
              <w:bottom w:val="single" w:sz="4" w:space="0" w:color="auto"/>
              <w:right w:val="single" w:sz="4" w:space="0" w:color="auto"/>
            </w:tcBorders>
            <w:shd w:val="clear" w:color="auto" w:fill="auto"/>
            <w:noWrap/>
            <w:vAlign w:val="center"/>
            <w:hideMark/>
          </w:tcPr>
          <w:p w14:paraId="4A50FE4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82,00 </w:t>
            </w:r>
          </w:p>
        </w:tc>
        <w:tc>
          <w:tcPr>
            <w:tcW w:w="1141" w:type="dxa"/>
            <w:tcBorders>
              <w:top w:val="nil"/>
              <w:left w:val="nil"/>
              <w:bottom w:val="single" w:sz="4" w:space="0" w:color="auto"/>
              <w:right w:val="single" w:sz="4" w:space="0" w:color="auto"/>
            </w:tcBorders>
            <w:shd w:val="clear" w:color="auto" w:fill="auto"/>
            <w:noWrap/>
            <w:vAlign w:val="center"/>
            <w:hideMark/>
          </w:tcPr>
          <w:p w14:paraId="2036CF2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4.100,00 </w:t>
            </w:r>
          </w:p>
        </w:tc>
      </w:tr>
      <w:tr w:rsidR="00AD3735" w14:paraId="67092D16"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96A0FD6" w14:textId="77777777" w:rsidR="00AD3735" w:rsidRDefault="00AD3735">
            <w:pPr>
              <w:jc w:val="center"/>
              <w:rPr>
                <w:rFonts w:ascii="Arial" w:hAnsi="Arial" w:cs="Arial"/>
                <w:color w:val="000000"/>
                <w:sz w:val="20"/>
                <w:szCs w:val="20"/>
              </w:rPr>
            </w:pPr>
            <w:r>
              <w:rPr>
                <w:rFonts w:ascii="Arial" w:hAnsi="Arial" w:cs="Arial"/>
                <w:color w:val="000000"/>
                <w:sz w:val="20"/>
                <w:szCs w:val="20"/>
              </w:rPr>
              <w:t>27</w:t>
            </w:r>
          </w:p>
        </w:tc>
        <w:tc>
          <w:tcPr>
            <w:tcW w:w="993" w:type="dxa"/>
            <w:tcBorders>
              <w:top w:val="nil"/>
              <w:left w:val="nil"/>
              <w:bottom w:val="single" w:sz="4" w:space="0" w:color="auto"/>
              <w:right w:val="single" w:sz="4" w:space="0" w:color="auto"/>
            </w:tcBorders>
            <w:shd w:val="clear" w:color="auto" w:fill="auto"/>
            <w:vAlign w:val="center"/>
            <w:hideMark/>
          </w:tcPr>
          <w:p w14:paraId="54EE5849"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457752</w:t>
            </w:r>
          </w:p>
        </w:tc>
        <w:tc>
          <w:tcPr>
            <w:tcW w:w="7654" w:type="dxa"/>
            <w:tcBorders>
              <w:top w:val="nil"/>
              <w:left w:val="nil"/>
              <w:bottom w:val="single" w:sz="4" w:space="0" w:color="auto"/>
              <w:right w:val="single" w:sz="4" w:space="0" w:color="auto"/>
            </w:tcBorders>
            <w:shd w:val="clear" w:color="auto" w:fill="auto"/>
            <w:vAlign w:val="center"/>
            <w:hideMark/>
          </w:tcPr>
          <w:p w14:paraId="56BDD6AA"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Mouse usb com fio de 1,8m, resolução de movimento: 1000 dpi, preto, óptico por led, plug and play , 2 botões + roda de rolagem </w:t>
            </w:r>
            <w:r>
              <w:rPr>
                <w:rFonts w:ascii="Arial" w:hAnsi="Arial" w:cs="Arial"/>
                <w:b/>
                <w:bCs/>
                <w:color w:val="000000"/>
                <w:sz w:val="20"/>
                <w:szCs w:val="20"/>
              </w:rPr>
              <w:t>pes</w:t>
            </w:r>
            <w:r>
              <w:rPr>
                <w:rFonts w:ascii="Arial" w:hAnsi="Arial" w:cs="Arial"/>
                <w:color w:val="000000"/>
                <w:sz w:val="20"/>
                <w:szCs w:val="20"/>
              </w:rPr>
              <w:t>o não superior a 87g</w:t>
            </w:r>
          </w:p>
        </w:tc>
        <w:tc>
          <w:tcPr>
            <w:tcW w:w="1155" w:type="dxa"/>
            <w:tcBorders>
              <w:top w:val="nil"/>
              <w:left w:val="nil"/>
              <w:bottom w:val="single" w:sz="4" w:space="0" w:color="auto"/>
              <w:right w:val="single" w:sz="4" w:space="0" w:color="auto"/>
            </w:tcBorders>
            <w:shd w:val="clear" w:color="auto" w:fill="auto"/>
            <w:vAlign w:val="center"/>
            <w:hideMark/>
          </w:tcPr>
          <w:p w14:paraId="4BE1120C"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147E2B7B"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4756CE59" w14:textId="77777777" w:rsidR="00AD3735" w:rsidRDefault="00AD3735">
            <w:pPr>
              <w:jc w:val="center"/>
              <w:rPr>
                <w:rFonts w:ascii="Arial" w:hAnsi="Arial" w:cs="Arial"/>
                <w:color w:val="000000"/>
                <w:sz w:val="20"/>
                <w:szCs w:val="20"/>
              </w:rPr>
            </w:pPr>
            <w:r>
              <w:rPr>
                <w:rFonts w:ascii="Arial" w:hAnsi="Arial" w:cs="Arial"/>
                <w:color w:val="000000"/>
                <w:sz w:val="20"/>
                <w:szCs w:val="20"/>
              </w:rPr>
              <w:t>50</w:t>
            </w:r>
          </w:p>
        </w:tc>
        <w:tc>
          <w:tcPr>
            <w:tcW w:w="962" w:type="dxa"/>
            <w:tcBorders>
              <w:top w:val="nil"/>
              <w:left w:val="nil"/>
              <w:bottom w:val="single" w:sz="4" w:space="0" w:color="auto"/>
              <w:right w:val="single" w:sz="4" w:space="0" w:color="auto"/>
            </w:tcBorders>
            <w:shd w:val="clear" w:color="auto" w:fill="auto"/>
            <w:noWrap/>
            <w:vAlign w:val="center"/>
            <w:hideMark/>
          </w:tcPr>
          <w:p w14:paraId="6836FCCE"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79,00 </w:t>
            </w:r>
          </w:p>
        </w:tc>
        <w:tc>
          <w:tcPr>
            <w:tcW w:w="1141" w:type="dxa"/>
            <w:tcBorders>
              <w:top w:val="nil"/>
              <w:left w:val="nil"/>
              <w:bottom w:val="single" w:sz="4" w:space="0" w:color="auto"/>
              <w:right w:val="single" w:sz="4" w:space="0" w:color="auto"/>
            </w:tcBorders>
            <w:shd w:val="clear" w:color="auto" w:fill="auto"/>
            <w:noWrap/>
            <w:vAlign w:val="center"/>
            <w:hideMark/>
          </w:tcPr>
          <w:p w14:paraId="208D47D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3.950,00 </w:t>
            </w:r>
          </w:p>
        </w:tc>
      </w:tr>
      <w:tr w:rsidR="00AD3735" w14:paraId="2EEC2700"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613911D" w14:textId="77777777" w:rsidR="00AD3735" w:rsidRDefault="00AD3735">
            <w:pPr>
              <w:jc w:val="center"/>
              <w:rPr>
                <w:rFonts w:ascii="Arial" w:hAnsi="Arial" w:cs="Arial"/>
                <w:color w:val="000000"/>
                <w:sz w:val="20"/>
                <w:szCs w:val="20"/>
              </w:rPr>
            </w:pPr>
            <w:r>
              <w:rPr>
                <w:rFonts w:ascii="Arial" w:hAnsi="Arial" w:cs="Arial"/>
                <w:color w:val="000000"/>
                <w:sz w:val="20"/>
                <w:szCs w:val="20"/>
              </w:rPr>
              <w:t>28</w:t>
            </w:r>
          </w:p>
        </w:tc>
        <w:tc>
          <w:tcPr>
            <w:tcW w:w="993" w:type="dxa"/>
            <w:tcBorders>
              <w:top w:val="nil"/>
              <w:left w:val="nil"/>
              <w:bottom w:val="single" w:sz="4" w:space="0" w:color="auto"/>
              <w:right w:val="single" w:sz="4" w:space="0" w:color="auto"/>
            </w:tcBorders>
            <w:shd w:val="clear" w:color="auto" w:fill="auto"/>
            <w:vAlign w:val="center"/>
            <w:hideMark/>
          </w:tcPr>
          <w:p w14:paraId="17B2E37F"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449990</w:t>
            </w:r>
          </w:p>
        </w:tc>
        <w:tc>
          <w:tcPr>
            <w:tcW w:w="7654" w:type="dxa"/>
            <w:tcBorders>
              <w:top w:val="nil"/>
              <w:left w:val="nil"/>
              <w:bottom w:val="single" w:sz="4" w:space="0" w:color="auto"/>
              <w:right w:val="single" w:sz="4" w:space="0" w:color="auto"/>
            </w:tcBorders>
            <w:shd w:val="clear" w:color="auto" w:fill="auto"/>
            <w:vAlign w:val="center"/>
            <w:hideMark/>
          </w:tcPr>
          <w:p w14:paraId="44CE506F" w14:textId="77777777" w:rsidR="00AD3735" w:rsidRDefault="00AD3735">
            <w:pPr>
              <w:jc w:val="both"/>
              <w:rPr>
                <w:rFonts w:ascii="Arial" w:hAnsi="Arial" w:cs="Arial"/>
                <w:color w:val="000000"/>
                <w:sz w:val="20"/>
                <w:szCs w:val="20"/>
              </w:rPr>
            </w:pPr>
            <w:r>
              <w:rPr>
                <w:rFonts w:ascii="Arial" w:hAnsi="Arial" w:cs="Arial"/>
                <w:color w:val="000000"/>
                <w:sz w:val="20"/>
                <w:szCs w:val="20"/>
              </w:rPr>
              <w:t>Fone de ouvido com fio, tipo p2, intra-auriculares, impedância 80 ohm ou superior, faixa de frequência 20hz - 20khz, potência mínima: 90db, com microfone</w:t>
            </w:r>
          </w:p>
        </w:tc>
        <w:tc>
          <w:tcPr>
            <w:tcW w:w="1155" w:type="dxa"/>
            <w:tcBorders>
              <w:top w:val="nil"/>
              <w:left w:val="nil"/>
              <w:bottom w:val="single" w:sz="4" w:space="0" w:color="auto"/>
              <w:right w:val="single" w:sz="4" w:space="0" w:color="auto"/>
            </w:tcBorders>
            <w:shd w:val="clear" w:color="auto" w:fill="auto"/>
            <w:vAlign w:val="center"/>
            <w:hideMark/>
          </w:tcPr>
          <w:p w14:paraId="39F08F3C"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CB3D3A0"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79CA915D" w14:textId="77777777" w:rsidR="00AD3735" w:rsidRDefault="00AD3735">
            <w:pPr>
              <w:jc w:val="center"/>
              <w:rPr>
                <w:rFonts w:ascii="Arial" w:hAnsi="Arial" w:cs="Arial"/>
                <w:color w:val="000000"/>
                <w:sz w:val="20"/>
                <w:szCs w:val="20"/>
              </w:rPr>
            </w:pPr>
            <w:r>
              <w:rPr>
                <w:rFonts w:ascii="Arial" w:hAnsi="Arial" w:cs="Arial"/>
                <w:color w:val="000000"/>
                <w:sz w:val="20"/>
                <w:szCs w:val="20"/>
              </w:rPr>
              <w:t>50</w:t>
            </w:r>
          </w:p>
        </w:tc>
        <w:tc>
          <w:tcPr>
            <w:tcW w:w="962" w:type="dxa"/>
            <w:tcBorders>
              <w:top w:val="nil"/>
              <w:left w:val="nil"/>
              <w:bottom w:val="single" w:sz="4" w:space="0" w:color="auto"/>
              <w:right w:val="single" w:sz="4" w:space="0" w:color="auto"/>
            </w:tcBorders>
            <w:shd w:val="clear" w:color="auto" w:fill="auto"/>
            <w:noWrap/>
            <w:vAlign w:val="center"/>
            <w:hideMark/>
          </w:tcPr>
          <w:p w14:paraId="6B37A0BB"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99,00 </w:t>
            </w:r>
          </w:p>
        </w:tc>
        <w:tc>
          <w:tcPr>
            <w:tcW w:w="1141" w:type="dxa"/>
            <w:tcBorders>
              <w:top w:val="nil"/>
              <w:left w:val="nil"/>
              <w:bottom w:val="single" w:sz="4" w:space="0" w:color="auto"/>
              <w:right w:val="single" w:sz="4" w:space="0" w:color="auto"/>
            </w:tcBorders>
            <w:shd w:val="clear" w:color="auto" w:fill="auto"/>
            <w:noWrap/>
            <w:vAlign w:val="center"/>
            <w:hideMark/>
          </w:tcPr>
          <w:p w14:paraId="501E213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4.950,00 </w:t>
            </w:r>
          </w:p>
        </w:tc>
      </w:tr>
      <w:tr w:rsidR="00AD3735" w14:paraId="099B0244" w14:textId="77777777" w:rsidTr="0017033F">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4A0E871" w14:textId="77777777" w:rsidR="00AD3735" w:rsidRDefault="00AD3735">
            <w:pPr>
              <w:jc w:val="center"/>
              <w:rPr>
                <w:rFonts w:ascii="Arial" w:hAnsi="Arial" w:cs="Arial"/>
                <w:color w:val="000000"/>
                <w:sz w:val="20"/>
                <w:szCs w:val="20"/>
              </w:rPr>
            </w:pPr>
            <w:r>
              <w:rPr>
                <w:rFonts w:ascii="Arial" w:hAnsi="Arial" w:cs="Arial"/>
                <w:color w:val="000000"/>
                <w:sz w:val="20"/>
                <w:szCs w:val="20"/>
              </w:rPr>
              <w:t>29</w:t>
            </w:r>
          </w:p>
        </w:tc>
        <w:tc>
          <w:tcPr>
            <w:tcW w:w="993" w:type="dxa"/>
            <w:tcBorders>
              <w:top w:val="nil"/>
              <w:left w:val="nil"/>
              <w:bottom w:val="single" w:sz="4" w:space="0" w:color="auto"/>
              <w:right w:val="single" w:sz="4" w:space="0" w:color="auto"/>
            </w:tcBorders>
            <w:shd w:val="clear" w:color="auto" w:fill="auto"/>
            <w:vAlign w:val="center"/>
            <w:hideMark/>
          </w:tcPr>
          <w:p w14:paraId="1C020ECB"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472881</w:t>
            </w:r>
          </w:p>
        </w:tc>
        <w:tc>
          <w:tcPr>
            <w:tcW w:w="7654" w:type="dxa"/>
            <w:tcBorders>
              <w:top w:val="nil"/>
              <w:left w:val="nil"/>
              <w:bottom w:val="single" w:sz="4" w:space="0" w:color="auto"/>
              <w:right w:val="single" w:sz="4" w:space="0" w:color="auto"/>
            </w:tcBorders>
            <w:shd w:val="clear" w:color="auto" w:fill="auto"/>
            <w:vAlign w:val="center"/>
            <w:hideMark/>
          </w:tcPr>
          <w:p w14:paraId="15FE5020" w14:textId="77777777" w:rsidR="00AD3735" w:rsidRDefault="00AD3735">
            <w:pPr>
              <w:jc w:val="both"/>
              <w:rPr>
                <w:rFonts w:ascii="Arial" w:hAnsi="Arial" w:cs="Arial"/>
                <w:color w:val="000000"/>
                <w:sz w:val="20"/>
                <w:szCs w:val="20"/>
              </w:rPr>
            </w:pPr>
            <w:r>
              <w:rPr>
                <w:rFonts w:ascii="Arial" w:hAnsi="Arial" w:cs="Arial"/>
                <w:color w:val="000000"/>
                <w:sz w:val="20"/>
                <w:szCs w:val="20"/>
              </w:rPr>
              <w:t>Cabo hdmi-hdmi, 2 metros, 4k, 60 hz, conector banhado a ouro</w:t>
            </w:r>
          </w:p>
        </w:tc>
        <w:tc>
          <w:tcPr>
            <w:tcW w:w="1155" w:type="dxa"/>
            <w:tcBorders>
              <w:top w:val="nil"/>
              <w:left w:val="nil"/>
              <w:bottom w:val="single" w:sz="4" w:space="0" w:color="auto"/>
              <w:right w:val="single" w:sz="4" w:space="0" w:color="auto"/>
            </w:tcBorders>
            <w:shd w:val="clear" w:color="auto" w:fill="auto"/>
            <w:vAlign w:val="center"/>
            <w:hideMark/>
          </w:tcPr>
          <w:p w14:paraId="58548EF3"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3EFCEA60"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07B84683" w14:textId="77777777" w:rsidR="00AD3735" w:rsidRDefault="00AD3735">
            <w:pPr>
              <w:jc w:val="center"/>
              <w:rPr>
                <w:rFonts w:ascii="Arial" w:hAnsi="Arial" w:cs="Arial"/>
                <w:color w:val="000000"/>
                <w:sz w:val="20"/>
                <w:szCs w:val="20"/>
              </w:rPr>
            </w:pPr>
            <w:r>
              <w:rPr>
                <w:rFonts w:ascii="Arial" w:hAnsi="Arial" w:cs="Arial"/>
                <w:color w:val="000000"/>
                <w:sz w:val="20"/>
                <w:szCs w:val="20"/>
              </w:rPr>
              <w:t>50</w:t>
            </w:r>
          </w:p>
        </w:tc>
        <w:tc>
          <w:tcPr>
            <w:tcW w:w="962" w:type="dxa"/>
            <w:tcBorders>
              <w:top w:val="nil"/>
              <w:left w:val="nil"/>
              <w:bottom w:val="single" w:sz="4" w:space="0" w:color="auto"/>
              <w:right w:val="single" w:sz="4" w:space="0" w:color="auto"/>
            </w:tcBorders>
            <w:shd w:val="clear" w:color="auto" w:fill="auto"/>
            <w:noWrap/>
            <w:vAlign w:val="center"/>
            <w:hideMark/>
          </w:tcPr>
          <w:p w14:paraId="4375B6B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24,00 </w:t>
            </w:r>
          </w:p>
        </w:tc>
        <w:tc>
          <w:tcPr>
            <w:tcW w:w="1141" w:type="dxa"/>
            <w:tcBorders>
              <w:top w:val="nil"/>
              <w:left w:val="nil"/>
              <w:bottom w:val="single" w:sz="4" w:space="0" w:color="auto"/>
              <w:right w:val="single" w:sz="4" w:space="0" w:color="auto"/>
            </w:tcBorders>
            <w:shd w:val="clear" w:color="auto" w:fill="auto"/>
            <w:noWrap/>
            <w:vAlign w:val="center"/>
            <w:hideMark/>
          </w:tcPr>
          <w:p w14:paraId="15EEEA30"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1.200,00 </w:t>
            </w:r>
          </w:p>
        </w:tc>
      </w:tr>
      <w:tr w:rsidR="00AD3735" w14:paraId="470B16F6" w14:textId="77777777" w:rsidTr="0017033F">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B2A17A"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93" w:type="dxa"/>
            <w:tcBorders>
              <w:top w:val="nil"/>
              <w:left w:val="nil"/>
              <w:bottom w:val="single" w:sz="4" w:space="0" w:color="auto"/>
              <w:right w:val="single" w:sz="4" w:space="0" w:color="auto"/>
            </w:tcBorders>
            <w:shd w:val="clear" w:color="auto" w:fill="auto"/>
            <w:vAlign w:val="center"/>
            <w:hideMark/>
          </w:tcPr>
          <w:p w14:paraId="51E996B1"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413996</w:t>
            </w:r>
          </w:p>
        </w:tc>
        <w:tc>
          <w:tcPr>
            <w:tcW w:w="7654" w:type="dxa"/>
            <w:tcBorders>
              <w:top w:val="nil"/>
              <w:left w:val="nil"/>
              <w:bottom w:val="single" w:sz="4" w:space="0" w:color="auto"/>
              <w:right w:val="single" w:sz="4" w:space="0" w:color="auto"/>
            </w:tcBorders>
            <w:shd w:val="clear" w:color="auto" w:fill="auto"/>
            <w:vAlign w:val="center"/>
            <w:hideMark/>
          </w:tcPr>
          <w:p w14:paraId="0946E82F" w14:textId="77777777" w:rsidR="00AD3735" w:rsidRDefault="00AD3735">
            <w:pPr>
              <w:jc w:val="both"/>
              <w:rPr>
                <w:rFonts w:ascii="Arial" w:hAnsi="Arial" w:cs="Arial"/>
                <w:color w:val="000000"/>
                <w:sz w:val="20"/>
                <w:szCs w:val="20"/>
              </w:rPr>
            </w:pPr>
            <w:r>
              <w:rPr>
                <w:rFonts w:ascii="Arial" w:hAnsi="Arial" w:cs="Arial"/>
                <w:color w:val="000000"/>
                <w:sz w:val="20"/>
                <w:szCs w:val="20"/>
              </w:rPr>
              <w:t>Cabo vga-vga, 2 metros, capaz de transmitir dados de vídeo em 1080p, 60 hz</w:t>
            </w:r>
          </w:p>
        </w:tc>
        <w:tc>
          <w:tcPr>
            <w:tcW w:w="1155" w:type="dxa"/>
            <w:tcBorders>
              <w:top w:val="nil"/>
              <w:left w:val="nil"/>
              <w:bottom w:val="single" w:sz="4" w:space="0" w:color="auto"/>
              <w:right w:val="single" w:sz="4" w:space="0" w:color="auto"/>
            </w:tcBorders>
            <w:shd w:val="clear" w:color="auto" w:fill="auto"/>
            <w:vAlign w:val="center"/>
            <w:hideMark/>
          </w:tcPr>
          <w:p w14:paraId="00460B6D"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1A30F87E"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63B9AD79" w14:textId="77777777" w:rsidR="00AD3735" w:rsidRDefault="00AD3735">
            <w:pPr>
              <w:jc w:val="center"/>
              <w:rPr>
                <w:rFonts w:ascii="Arial" w:hAnsi="Arial" w:cs="Arial"/>
                <w:color w:val="000000"/>
                <w:sz w:val="20"/>
                <w:szCs w:val="20"/>
              </w:rPr>
            </w:pPr>
            <w:r>
              <w:rPr>
                <w:rFonts w:ascii="Arial" w:hAnsi="Arial" w:cs="Arial"/>
                <w:color w:val="000000"/>
                <w:sz w:val="20"/>
                <w:szCs w:val="20"/>
              </w:rPr>
              <w:t>50</w:t>
            </w:r>
          </w:p>
        </w:tc>
        <w:tc>
          <w:tcPr>
            <w:tcW w:w="962" w:type="dxa"/>
            <w:tcBorders>
              <w:top w:val="nil"/>
              <w:left w:val="nil"/>
              <w:bottom w:val="single" w:sz="4" w:space="0" w:color="auto"/>
              <w:right w:val="single" w:sz="4" w:space="0" w:color="auto"/>
            </w:tcBorders>
            <w:shd w:val="clear" w:color="auto" w:fill="auto"/>
            <w:noWrap/>
            <w:vAlign w:val="center"/>
            <w:hideMark/>
          </w:tcPr>
          <w:p w14:paraId="6540EFE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69,40 </w:t>
            </w:r>
          </w:p>
        </w:tc>
        <w:tc>
          <w:tcPr>
            <w:tcW w:w="1141" w:type="dxa"/>
            <w:tcBorders>
              <w:top w:val="nil"/>
              <w:left w:val="nil"/>
              <w:bottom w:val="single" w:sz="4" w:space="0" w:color="auto"/>
              <w:right w:val="single" w:sz="4" w:space="0" w:color="auto"/>
            </w:tcBorders>
            <w:shd w:val="clear" w:color="auto" w:fill="auto"/>
            <w:noWrap/>
            <w:vAlign w:val="center"/>
            <w:hideMark/>
          </w:tcPr>
          <w:p w14:paraId="0740410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3.470,00 </w:t>
            </w:r>
          </w:p>
        </w:tc>
      </w:tr>
      <w:tr w:rsidR="00AD3735" w14:paraId="0614E79D"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F7CB369" w14:textId="77777777" w:rsidR="00AD3735" w:rsidRDefault="00AD3735">
            <w:pPr>
              <w:jc w:val="center"/>
              <w:rPr>
                <w:rFonts w:ascii="Arial" w:hAnsi="Arial" w:cs="Arial"/>
                <w:color w:val="000000"/>
                <w:sz w:val="20"/>
                <w:szCs w:val="20"/>
              </w:rPr>
            </w:pPr>
            <w:r>
              <w:rPr>
                <w:rFonts w:ascii="Arial" w:hAnsi="Arial" w:cs="Arial"/>
                <w:color w:val="000000"/>
                <w:sz w:val="20"/>
                <w:szCs w:val="20"/>
              </w:rPr>
              <w:lastRenderedPageBreak/>
              <w:t>31</w:t>
            </w:r>
          </w:p>
        </w:tc>
        <w:tc>
          <w:tcPr>
            <w:tcW w:w="993" w:type="dxa"/>
            <w:tcBorders>
              <w:top w:val="nil"/>
              <w:left w:val="nil"/>
              <w:bottom w:val="single" w:sz="4" w:space="0" w:color="auto"/>
              <w:right w:val="single" w:sz="4" w:space="0" w:color="auto"/>
            </w:tcBorders>
            <w:shd w:val="clear" w:color="auto" w:fill="auto"/>
            <w:vAlign w:val="center"/>
            <w:hideMark/>
          </w:tcPr>
          <w:p w14:paraId="3DFB8708"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375963</w:t>
            </w:r>
          </w:p>
        </w:tc>
        <w:tc>
          <w:tcPr>
            <w:tcW w:w="7654" w:type="dxa"/>
            <w:tcBorders>
              <w:top w:val="nil"/>
              <w:left w:val="nil"/>
              <w:bottom w:val="single" w:sz="4" w:space="0" w:color="auto"/>
              <w:right w:val="single" w:sz="4" w:space="0" w:color="auto"/>
            </w:tcBorders>
            <w:shd w:val="clear" w:color="auto" w:fill="auto"/>
            <w:vAlign w:val="center"/>
            <w:hideMark/>
          </w:tcPr>
          <w:p w14:paraId="7578071C" w14:textId="77777777" w:rsidR="00AD3735" w:rsidRDefault="00AD3735">
            <w:pPr>
              <w:jc w:val="both"/>
              <w:rPr>
                <w:rFonts w:ascii="Arial" w:hAnsi="Arial" w:cs="Arial"/>
                <w:color w:val="000000"/>
                <w:sz w:val="20"/>
                <w:szCs w:val="20"/>
              </w:rPr>
            </w:pPr>
            <w:r>
              <w:rPr>
                <w:rFonts w:ascii="Arial" w:hAnsi="Arial" w:cs="Arial"/>
                <w:color w:val="000000"/>
                <w:sz w:val="20"/>
                <w:szCs w:val="20"/>
              </w:rPr>
              <w:t>Conector, tipo macho, modelo rj45, cat 6, quantidade vias 8, características adicionais certificado pela ul (underwriters laboratories), aplicação para cabo utp pct com 100 und</w:t>
            </w:r>
          </w:p>
        </w:tc>
        <w:tc>
          <w:tcPr>
            <w:tcW w:w="1155" w:type="dxa"/>
            <w:tcBorders>
              <w:top w:val="nil"/>
              <w:left w:val="nil"/>
              <w:bottom w:val="single" w:sz="4" w:space="0" w:color="auto"/>
              <w:right w:val="single" w:sz="4" w:space="0" w:color="auto"/>
            </w:tcBorders>
            <w:shd w:val="clear" w:color="auto" w:fill="auto"/>
            <w:vAlign w:val="center"/>
            <w:hideMark/>
          </w:tcPr>
          <w:p w14:paraId="18B5A8C6" w14:textId="77777777" w:rsidR="00AD3735" w:rsidRDefault="00AD3735">
            <w:pPr>
              <w:jc w:val="center"/>
              <w:rPr>
                <w:rFonts w:ascii="Arial" w:hAnsi="Arial" w:cs="Arial"/>
                <w:color w:val="0A0A0A"/>
                <w:sz w:val="20"/>
                <w:szCs w:val="20"/>
              </w:rPr>
            </w:pPr>
            <w:r>
              <w:rPr>
                <w:rFonts w:ascii="Arial" w:hAnsi="Arial" w:cs="Arial"/>
                <w:color w:val="0A0A0A"/>
                <w:sz w:val="20"/>
                <w:szCs w:val="20"/>
              </w:rPr>
              <w:t>Pct 100 und</w:t>
            </w:r>
          </w:p>
        </w:tc>
        <w:tc>
          <w:tcPr>
            <w:tcW w:w="829" w:type="dxa"/>
            <w:tcBorders>
              <w:top w:val="nil"/>
              <w:left w:val="nil"/>
              <w:bottom w:val="single" w:sz="4" w:space="0" w:color="auto"/>
              <w:right w:val="single" w:sz="4" w:space="0" w:color="auto"/>
            </w:tcBorders>
            <w:shd w:val="clear" w:color="auto" w:fill="auto"/>
            <w:vAlign w:val="center"/>
            <w:hideMark/>
          </w:tcPr>
          <w:p w14:paraId="0C18611D"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1E525D52" w14:textId="77777777" w:rsidR="00AD3735" w:rsidRDefault="00AD3735">
            <w:pPr>
              <w:jc w:val="center"/>
              <w:rPr>
                <w:rFonts w:ascii="Arial" w:hAnsi="Arial" w:cs="Arial"/>
                <w:color w:val="000000"/>
                <w:sz w:val="20"/>
                <w:szCs w:val="20"/>
              </w:rPr>
            </w:pPr>
            <w:r>
              <w:rPr>
                <w:rFonts w:ascii="Arial" w:hAnsi="Arial" w:cs="Arial"/>
                <w:color w:val="000000"/>
                <w:sz w:val="20"/>
                <w:szCs w:val="20"/>
              </w:rPr>
              <w:t>7</w:t>
            </w:r>
          </w:p>
        </w:tc>
        <w:tc>
          <w:tcPr>
            <w:tcW w:w="962" w:type="dxa"/>
            <w:tcBorders>
              <w:top w:val="nil"/>
              <w:left w:val="nil"/>
              <w:bottom w:val="single" w:sz="4" w:space="0" w:color="auto"/>
              <w:right w:val="single" w:sz="4" w:space="0" w:color="auto"/>
            </w:tcBorders>
            <w:shd w:val="clear" w:color="auto" w:fill="auto"/>
            <w:noWrap/>
            <w:vAlign w:val="center"/>
            <w:hideMark/>
          </w:tcPr>
          <w:p w14:paraId="58D2C6B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108,76 </w:t>
            </w:r>
          </w:p>
        </w:tc>
        <w:tc>
          <w:tcPr>
            <w:tcW w:w="1141" w:type="dxa"/>
            <w:tcBorders>
              <w:top w:val="nil"/>
              <w:left w:val="nil"/>
              <w:bottom w:val="single" w:sz="4" w:space="0" w:color="auto"/>
              <w:right w:val="single" w:sz="4" w:space="0" w:color="auto"/>
            </w:tcBorders>
            <w:shd w:val="clear" w:color="auto" w:fill="auto"/>
            <w:noWrap/>
            <w:vAlign w:val="center"/>
            <w:hideMark/>
          </w:tcPr>
          <w:p w14:paraId="291E2F9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761,32 </w:t>
            </w:r>
          </w:p>
        </w:tc>
      </w:tr>
      <w:tr w:rsidR="00AD3735" w14:paraId="69D26F3C"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B061C24" w14:textId="77777777" w:rsidR="00AD3735" w:rsidRDefault="00AD3735">
            <w:pPr>
              <w:jc w:val="center"/>
              <w:rPr>
                <w:rFonts w:ascii="Arial" w:hAnsi="Arial" w:cs="Arial"/>
                <w:color w:val="000000"/>
                <w:sz w:val="20"/>
                <w:szCs w:val="20"/>
              </w:rPr>
            </w:pPr>
            <w:r>
              <w:rPr>
                <w:rFonts w:ascii="Arial" w:hAnsi="Arial" w:cs="Arial"/>
                <w:color w:val="000000"/>
                <w:sz w:val="20"/>
                <w:szCs w:val="20"/>
              </w:rPr>
              <w:t>32</w:t>
            </w:r>
          </w:p>
        </w:tc>
        <w:tc>
          <w:tcPr>
            <w:tcW w:w="993" w:type="dxa"/>
            <w:tcBorders>
              <w:top w:val="nil"/>
              <w:left w:val="nil"/>
              <w:bottom w:val="single" w:sz="4" w:space="0" w:color="auto"/>
              <w:right w:val="single" w:sz="4" w:space="0" w:color="auto"/>
            </w:tcBorders>
            <w:shd w:val="clear" w:color="auto" w:fill="auto"/>
            <w:vAlign w:val="center"/>
            <w:hideMark/>
          </w:tcPr>
          <w:p w14:paraId="6472946D"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336827</w:t>
            </w:r>
          </w:p>
        </w:tc>
        <w:tc>
          <w:tcPr>
            <w:tcW w:w="7654" w:type="dxa"/>
            <w:tcBorders>
              <w:top w:val="nil"/>
              <w:left w:val="nil"/>
              <w:bottom w:val="single" w:sz="4" w:space="0" w:color="auto"/>
              <w:right w:val="single" w:sz="4" w:space="0" w:color="auto"/>
            </w:tcBorders>
            <w:shd w:val="clear" w:color="auto" w:fill="auto"/>
            <w:vAlign w:val="center"/>
            <w:hideMark/>
          </w:tcPr>
          <w:p w14:paraId="1AB50379"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Conector rj11 macho para telefonia, com 6 vias de encaixe, 4 vias ativas, padrão rj11 na cor transparente </w:t>
            </w:r>
          </w:p>
        </w:tc>
        <w:tc>
          <w:tcPr>
            <w:tcW w:w="1155" w:type="dxa"/>
            <w:tcBorders>
              <w:top w:val="nil"/>
              <w:left w:val="nil"/>
              <w:bottom w:val="single" w:sz="4" w:space="0" w:color="auto"/>
              <w:right w:val="single" w:sz="4" w:space="0" w:color="auto"/>
            </w:tcBorders>
            <w:shd w:val="clear" w:color="auto" w:fill="auto"/>
            <w:vAlign w:val="center"/>
            <w:hideMark/>
          </w:tcPr>
          <w:p w14:paraId="2D5305AF"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650DE469" w14:textId="77777777" w:rsidR="00AD3735" w:rsidRDefault="00AD3735">
            <w:pPr>
              <w:jc w:val="center"/>
              <w:rPr>
                <w:rFonts w:ascii="Arial" w:hAnsi="Arial" w:cs="Arial"/>
                <w:color w:val="0A0A0A"/>
                <w:sz w:val="20"/>
                <w:szCs w:val="20"/>
              </w:rPr>
            </w:pPr>
            <w:r>
              <w:rPr>
                <w:rFonts w:ascii="Arial" w:hAnsi="Arial" w:cs="Arial"/>
                <w:color w:val="0A0A0A"/>
                <w:sz w:val="20"/>
                <w:szCs w:val="20"/>
              </w:rPr>
              <w:t>50</w:t>
            </w:r>
          </w:p>
        </w:tc>
        <w:tc>
          <w:tcPr>
            <w:tcW w:w="696" w:type="dxa"/>
            <w:tcBorders>
              <w:top w:val="nil"/>
              <w:left w:val="nil"/>
              <w:bottom w:val="single" w:sz="4" w:space="0" w:color="auto"/>
              <w:right w:val="single" w:sz="4" w:space="0" w:color="auto"/>
            </w:tcBorders>
            <w:shd w:val="clear" w:color="auto" w:fill="auto"/>
            <w:vAlign w:val="center"/>
            <w:hideMark/>
          </w:tcPr>
          <w:p w14:paraId="6100882E" w14:textId="77777777" w:rsidR="00AD3735" w:rsidRDefault="00AD3735">
            <w:pPr>
              <w:jc w:val="center"/>
              <w:rPr>
                <w:rFonts w:ascii="Arial" w:hAnsi="Arial" w:cs="Arial"/>
                <w:color w:val="000000"/>
                <w:sz w:val="20"/>
                <w:szCs w:val="20"/>
              </w:rPr>
            </w:pPr>
            <w:r>
              <w:rPr>
                <w:rFonts w:ascii="Arial" w:hAnsi="Arial" w:cs="Arial"/>
                <w:color w:val="000000"/>
                <w:sz w:val="20"/>
                <w:szCs w:val="20"/>
              </w:rPr>
              <w:t>200</w:t>
            </w:r>
          </w:p>
        </w:tc>
        <w:tc>
          <w:tcPr>
            <w:tcW w:w="962" w:type="dxa"/>
            <w:tcBorders>
              <w:top w:val="nil"/>
              <w:left w:val="nil"/>
              <w:bottom w:val="single" w:sz="4" w:space="0" w:color="auto"/>
              <w:right w:val="single" w:sz="4" w:space="0" w:color="auto"/>
            </w:tcBorders>
            <w:shd w:val="clear" w:color="auto" w:fill="auto"/>
            <w:noWrap/>
            <w:vAlign w:val="center"/>
            <w:hideMark/>
          </w:tcPr>
          <w:p w14:paraId="6C75261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0,30 </w:t>
            </w:r>
          </w:p>
        </w:tc>
        <w:tc>
          <w:tcPr>
            <w:tcW w:w="1141" w:type="dxa"/>
            <w:tcBorders>
              <w:top w:val="nil"/>
              <w:left w:val="nil"/>
              <w:bottom w:val="single" w:sz="4" w:space="0" w:color="auto"/>
              <w:right w:val="single" w:sz="4" w:space="0" w:color="auto"/>
            </w:tcBorders>
            <w:shd w:val="clear" w:color="auto" w:fill="auto"/>
            <w:noWrap/>
            <w:vAlign w:val="center"/>
            <w:hideMark/>
          </w:tcPr>
          <w:p w14:paraId="654381AB"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60,00 </w:t>
            </w:r>
          </w:p>
        </w:tc>
      </w:tr>
      <w:tr w:rsidR="00AD3735" w14:paraId="4F94AF1F"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9024323" w14:textId="77777777" w:rsidR="00AD3735" w:rsidRDefault="00AD3735">
            <w:pPr>
              <w:jc w:val="center"/>
              <w:rPr>
                <w:rFonts w:ascii="Arial" w:hAnsi="Arial" w:cs="Arial"/>
                <w:color w:val="000000"/>
                <w:sz w:val="20"/>
                <w:szCs w:val="20"/>
              </w:rPr>
            </w:pPr>
            <w:r>
              <w:rPr>
                <w:rFonts w:ascii="Arial" w:hAnsi="Arial" w:cs="Arial"/>
                <w:color w:val="000000"/>
                <w:sz w:val="20"/>
                <w:szCs w:val="20"/>
              </w:rPr>
              <w:t>33</w:t>
            </w:r>
          </w:p>
        </w:tc>
        <w:tc>
          <w:tcPr>
            <w:tcW w:w="993" w:type="dxa"/>
            <w:tcBorders>
              <w:top w:val="nil"/>
              <w:left w:val="nil"/>
              <w:bottom w:val="single" w:sz="4" w:space="0" w:color="auto"/>
              <w:right w:val="single" w:sz="4" w:space="0" w:color="auto"/>
            </w:tcBorders>
            <w:shd w:val="clear" w:color="auto" w:fill="auto"/>
            <w:vAlign w:val="center"/>
            <w:hideMark/>
          </w:tcPr>
          <w:p w14:paraId="76D67698"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291168</w:t>
            </w:r>
          </w:p>
        </w:tc>
        <w:tc>
          <w:tcPr>
            <w:tcW w:w="7654" w:type="dxa"/>
            <w:tcBorders>
              <w:top w:val="nil"/>
              <w:left w:val="nil"/>
              <w:bottom w:val="single" w:sz="4" w:space="0" w:color="auto"/>
              <w:right w:val="single" w:sz="4" w:space="0" w:color="auto"/>
            </w:tcBorders>
            <w:shd w:val="clear" w:color="auto" w:fill="auto"/>
            <w:vAlign w:val="center"/>
            <w:hideMark/>
          </w:tcPr>
          <w:p w14:paraId="1C90A01B" w14:textId="77777777" w:rsidR="00AD3735" w:rsidRDefault="00AD3735">
            <w:pPr>
              <w:jc w:val="both"/>
              <w:rPr>
                <w:rFonts w:ascii="Arial" w:hAnsi="Arial" w:cs="Arial"/>
                <w:color w:val="000000"/>
                <w:sz w:val="20"/>
                <w:szCs w:val="20"/>
              </w:rPr>
            </w:pPr>
            <w:r>
              <w:rPr>
                <w:rFonts w:ascii="Arial" w:hAnsi="Arial" w:cs="Arial"/>
                <w:color w:val="000000"/>
                <w:sz w:val="20"/>
                <w:szCs w:val="20"/>
              </w:rPr>
              <w:t>Alicate de crimpagem - alicate para crimpar; - indicado para terminais; - 8p8c / rj45, 6p6c / rj12 e 6p4c / rj11; - para terminais de telefonia e cabos de rede; - cabo borracha, características adicionais: multi função corta fio para conectores de passagem;</w:t>
            </w:r>
          </w:p>
        </w:tc>
        <w:tc>
          <w:tcPr>
            <w:tcW w:w="1155" w:type="dxa"/>
            <w:tcBorders>
              <w:top w:val="nil"/>
              <w:left w:val="nil"/>
              <w:bottom w:val="single" w:sz="4" w:space="0" w:color="auto"/>
              <w:right w:val="single" w:sz="4" w:space="0" w:color="auto"/>
            </w:tcBorders>
            <w:shd w:val="clear" w:color="auto" w:fill="auto"/>
            <w:vAlign w:val="center"/>
            <w:hideMark/>
          </w:tcPr>
          <w:p w14:paraId="735ADB16"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7F93CC6E"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64169876" w14:textId="77777777" w:rsidR="00AD3735" w:rsidRDefault="00AD3735">
            <w:pPr>
              <w:jc w:val="center"/>
              <w:rPr>
                <w:rFonts w:ascii="Arial" w:hAnsi="Arial" w:cs="Arial"/>
                <w:color w:val="000000"/>
                <w:sz w:val="20"/>
                <w:szCs w:val="20"/>
              </w:rPr>
            </w:pPr>
            <w:r>
              <w:rPr>
                <w:rFonts w:ascii="Arial" w:hAnsi="Arial" w:cs="Arial"/>
                <w:color w:val="000000"/>
                <w:sz w:val="20"/>
                <w:szCs w:val="20"/>
              </w:rPr>
              <w:t>4</w:t>
            </w:r>
          </w:p>
        </w:tc>
        <w:tc>
          <w:tcPr>
            <w:tcW w:w="962" w:type="dxa"/>
            <w:tcBorders>
              <w:top w:val="nil"/>
              <w:left w:val="nil"/>
              <w:bottom w:val="single" w:sz="4" w:space="0" w:color="auto"/>
              <w:right w:val="single" w:sz="4" w:space="0" w:color="auto"/>
            </w:tcBorders>
            <w:shd w:val="clear" w:color="auto" w:fill="auto"/>
            <w:noWrap/>
            <w:vAlign w:val="center"/>
            <w:hideMark/>
          </w:tcPr>
          <w:p w14:paraId="51E3D47D"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69,00 </w:t>
            </w:r>
          </w:p>
        </w:tc>
        <w:tc>
          <w:tcPr>
            <w:tcW w:w="1141" w:type="dxa"/>
            <w:tcBorders>
              <w:top w:val="nil"/>
              <w:left w:val="nil"/>
              <w:bottom w:val="single" w:sz="4" w:space="0" w:color="auto"/>
              <w:right w:val="single" w:sz="4" w:space="0" w:color="auto"/>
            </w:tcBorders>
            <w:shd w:val="clear" w:color="auto" w:fill="auto"/>
            <w:noWrap/>
            <w:vAlign w:val="center"/>
            <w:hideMark/>
          </w:tcPr>
          <w:p w14:paraId="2C5B8F4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276,00 </w:t>
            </w:r>
          </w:p>
        </w:tc>
      </w:tr>
      <w:tr w:rsidR="00AD3735" w14:paraId="60FFA858" w14:textId="77777777" w:rsidTr="0017033F">
        <w:trPr>
          <w:trHeight w:val="20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0F1CAB" w14:textId="77777777" w:rsidR="00AD3735" w:rsidRDefault="00AD3735">
            <w:pPr>
              <w:jc w:val="center"/>
              <w:rPr>
                <w:rFonts w:ascii="Arial" w:hAnsi="Arial" w:cs="Arial"/>
                <w:color w:val="000000"/>
                <w:sz w:val="20"/>
                <w:szCs w:val="20"/>
              </w:rPr>
            </w:pPr>
            <w:r>
              <w:rPr>
                <w:rFonts w:ascii="Arial" w:hAnsi="Arial" w:cs="Arial"/>
                <w:color w:val="000000"/>
                <w:sz w:val="20"/>
                <w:szCs w:val="20"/>
              </w:rPr>
              <w:t>34</w:t>
            </w:r>
          </w:p>
        </w:tc>
        <w:tc>
          <w:tcPr>
            <w:tcW w:w="993" w:type="dxa"/>
            <w:tcBorders>
              <w:top w:val="nil"/>
              <w:left w:val="nil"/>
              <w:bottom w:val="single" w:sz="4" w:space="0" w:color="auto"/>
              <w:right w:val="single" w:sz="4" w:space="0" w:color="auto"/>
            </w:tcBorders>
            <w:shd w:val="clear" w:color="auto" w:fill="auto"/>
            <w:vAlign w:val="center"/>
            <w:hideMark/>
          </w:tcPr>
          <w:p w14:paraId="5CCB8EE1"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467549</w:t>
            </w:r>
          </w:p>
        </w:tc>
        <w:tc>
          <w:tcPr>
            <w:tcW w:w="7654" w:type="dxa"/>
            <w:tcBorders>
              <w:top w:val="nil"/>
              <w:left w:val="nil"/>
              <w:bottom w:val="single" w:sz="4" w:space="0" w:color="auto"/>
              <w:right w:val="single" w:sz="4" w:space="0" w:color="auto"/>
            </w:tcBorders>
            <w:shd w:val="clear" w:color="auto" w:fill="auto"/>
            <w:vAlign w:val="center"/>
            <w:hideMark/>
          </w:tcPr>
          <w:p w14:paraId="083547E0" w14:textId="77777777" w:rsidR="00AD3735" w:rsidRDefault="00AD3735">
            <w:pPr>
              <w:jc w:val="both"/>
              <w:rPr>
                <w:rFonts w:ascii="Arial" w:hAnsi="Arial" w:cs="Arial"/>
                <w:color w:val="000000"/>
                <w:sz w:val="20"/>
                <w:szCs w:val="20"/>
              </w:rPr>
            </w:pPr>
            <w:r>
              <w:rPr>
                <w:rFonts w:ascii="Arial" w:hAnsi="Arial" w:cs="Arial"/>
                <w:color w:val="000000"/>
                <w:sz w:val="20"/>
                <w:szCs w:val="20"/>
              </w:rPr>
              <w:t>Caixa de cabo de rede cat6 de cobre 305 mts deve cumprir os seguintes requisitos: cumpre os requisitos físicos e elétricos das normas ansi/tia-568c.2 e iso/iec11801. O cabo deverá estar de acordo com as diretivas rohs (restriction of hazardous substances), pode ser utilizado com os seguintes padrões atuais de redes citados a seguir: atm-155(utp), af-phy-oo15.000 e af-phy-0018.000, 155/51/25mbps; tp-pmd , ansi x3t9.5, 100 mbps; gigabit ethernet, ieee 802.3z, 1000 mbps; 100base-tx, ieee 802.3u, 100 mbps; 100base-t4, ieee 802.3u ,100 mbps; 100vg-anylan, ieee802.12, 100 mbps; 10base-t , ieee802.3, 10 mbps; token ring, ieee802.5 , 4/16 mbps; 3x-as400, ibm, 10 mbps. Igual ou superior a furukawa sohoplus</w:t>
            </w:r>
          </w:p>
        </w:tc>
        <w:tc>
          <w:tcPr>
            <w:tcW w:w="1155" w:type="dxa"/>
            <w:tcBorders>
              <w:top w:val="nil"/>
              <w:left w:val="nil"/>
              <w:bottom w:val="single" w:sz="4" w:space="0" w:color="auto"/>
              <w:right w:val="single" w:sz="4" w:space="0" w:color="auto"/>
            </w:tcBorders>
            <w:shd w:val="clear" w:color="auto" w:fill="auto"/>
            <w:vAlign w:val="center"/>
            <w:hideMark/>
          </w:tcPr>
          <w:p w14:paraId="7F1312B2" w14:textId="77777777" w:rsidR="00AD3735" w:rsidRDefault="00AD3735">
            <w:pPr>
              <w:jc w:val="center"/>
              <w:rPr>
                <w:rFonts w:ascii="Arial" w:hAnsi="Arial" w:cs="Arial"/>
                <w:color w:val="0A0A0A"/>
                <w:sz w:val="20"/>
                <w:szCs w:val="20"/>
              </w:rPr>
            </w:pPr>
            <w:r>
              <w:rPr>
                <w:rFonts w:ascii="Arial" w:hAnsi="Arial" w:cs="Arial"/>
                <w:color w:val="0A0A0A"/>
                <w:sz w:val="20"/>
                <w:szCs w:val="20"/>
              </w:rPr>
              <w:t>Caixa 305m</w:t>
            </w:r>
          </w:p>
        </w:tc>
        <w:tc>
          <w:tcPr>
            <w:tcW w:w="829" w:type="dxa"/>
            <w:tcBorders>
              <w:top w:val="nil"/>
              <w:left w:val="nil"/>
              <w:bottom w:val="single" w:sz="4" w:space="0" w:color="auto"/>
              <w:right w:val="single" w:sz="4" w:space="0" w:color="auto"/>
            </w:tcBorders>
            <w:shd w:val="clear" w:color="auto" w:fill="auto"/>
            <w:noWrap/>
            <w:vAlign w:val="center"/>
            <w:hideMark/>
          </w:tcPr>
          <w:p w14:paraId="19C12AF5"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2299A8E3" w14:textId="77777777" w:rsidR="00AD3735" w:rsidRDefault="00AD3735">
            <w:pPr>
              <w:jc w:val="center"/>
              <w:rPr>
                <w:rFonts w:ascii="Arial" w:hAnsi="Arial" w:cs="Arial"/>
                <w:color w:val="000000"/>
                <w:sz w:val="20"/>
                <w:szCs w:val="20"/>
              </w:rPr>
            </w:pPr>
            <w:r>
              <w:rPr>
                <w:rFonts w:ascii="Arial" w:hAnsi="Arial" w:cs="Arial"/>
                <w:color w:val="000000"/>
                <w:sz w:val="20"/>
                <w:szCs w:val="20"/>
              </w:rPr>
              <w:t>7</w:t>
            </w:r>
          </w:p>
        </w:tc>
        <w:tc>
          <w:tcPr>
            <w:tcW w:w="962" w:type="dxa"/>
            <w:tcBorders>
              <w:top w:val="nil"/>
              <w:left w:val="nil"/>
              <w:bottom w:val="single" w:sz="4" w:space="0" w:color="auto"/>
              <w:right w:val="single" w:sz="4" w:space="0" w:color="auto"/>
            </w:tcBorders>
            <w:shd w:val="clear" w:color="auto" w:fill="auto"/>
            <w:noWrap/>
            <w:vAlign w:val="center"/>
            <w:hideMark/>
          </w:tcPr>
          <w:p w14:paraId="7BF0C28F"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1.001,99 </w:t>
            </w:r>
          </w:p>
        </w:tc>
        <w:tc>
          <w:tcPr>
            <w:tcW w:w="1141" w:type="dxa"/>
            <w:tcBorders>
              <w:top w:val="nil"/>
              <w:left w:val="nil"/>
              <w:bottom w:val="single" w:sz="4" w:space="0" w:color="auto"/>
              <w:right w:val="single" w:sz="4" w:space="0" w:color="auto"/>
            </w:tcBorders>
            <w:shd w:val="clear" w:color="auto" w:fill="auto"/>
            <w:noWrap/>
            <w:vAlign w:val="center"/>
            <w:hideMark/>
          </w:tcPr>
          <w:p w14:paraId="5E64EDB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7.013,93 </w:t>
            </w:r>
          </w:p>
        </w:tc>
      </w:tr>
      <w:tr w:rsidR="00AD3735" w14:paraId="6A3B994B"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EA1A46" w14:textId="77777777" w:rsidR="00AD3735" w:rsidRDefault="00AD3735">
            <w:pPr>
              <w:jc w:val="center"/>
              <w:rPr>
                <w:rFonts w:ascii="Arial" w:hAnsi="Arial" w:cs="Arial"/>
                <w:color w:val="000000"/>
                <w:sz w:val="20"/>
                <w:szCs w:val="20"/>
              </w:rPr>
            </w:pPr>
            <w:r>
              <w:rPr>
                <w:rFonts w:ascii="Arial" w:hAnsi="Arial" w:cs="Arial"/>
                <w:color w:val="000000"/>
                <w:sz w:val="20"/>
                <w:szCs w:val="20"/>
              </w:rPr>
              <w:t>35</w:t>
            </w:r>
          </w:p>
        </w:tc>
        <w:tc>
          <w:tcPr>
            <w:tcW w:w="993" w:type="dxa"/>
            <w:tcBorders>
              <w:top w:val="nil"/>
              <w:left w:val="nil"/>
              <w:bottom w:val="single" w:sz="4" w:space="0" w:color="auto"/>
              <w:right w:val="single" w:sz="4" w:space="0" w:color="auto"/>
            </w:tcBorders>
            <w:shd w:val="clear" w:color="auto" w:fill="auto"/>
            <w:vAlign w:val="center"/>
            <w:hideMark/>
          </w:tcPr>
          <w:p w14:paraId="11FED54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245384</w:t>
            </w:r>
          </w:p>
        </w:tc>
        <w:tc>
          <w:tcPr>
            <w:tcW w:w="7654" w:type="dxa"/>
            <w:tcBorders>
              <w:top w:val="nil"/>
              <w:left w:val="nil"/>
              <w:bottom w:val="single" w:sz="4" w:space="0" w:color="auto"/>
              <w:right w:val="single" w:sz="4" w:space="0" w:color="auto"/>
            </w:tcBorders>
            <w:shd w:val="clear" w:color="auto" w:fill="auto"/>
            <w:vAlign w:val="center"/>
            <w:hideMark/>
          </w:tcPr>
          <w:p w14:paraId="7848190B"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Guia de fio, com </w:t>
            </w:r>
            <w:r>
              <w:rPr>
                <w:rFonts w:ascii="Arial" w:hAnsi="Arial" w:cs="Arial"/>
                <w:b/>
                <w:bCs/>
                <w:color w:val="000000"/>
                <w:sz w:val="20"/>
                <w:szCs w:val="20"/>
              </w:rPr>
              <w:t>20m</w:t>
            </w:r>
            <w:r>
              <w:rPr>
                <w:rFonts w:ascii="Arial" w:hAnsi="Arial" w:cs="Arial"/>
                <w:color w:val="000000"/>
                <w:sz w:val="20"/>
                <w:szCs w:val="20"/>
              </w:rPr>
              <w:t>, material náilon, aplicação passagem de cabo/fio de rede, com ponta flexível.</w:t>
            </w:r>
          </w:p>
        </w:tc>
        <w:tc>
          <w:tcPr>
            <w:tcW w:w="1155" w:type="dxa"/>
            <w:tcBorders>
              <w:top w:val="nil"/>
              <w:left w:val="nil"/>
              <w:bottom w:val="single" w:sz="4" w:space="0" w:color="auto"/>
              <w:right w:val="single" w:sz="4" w:space="0" w:color="auto"/>
            </w:tcBorders>
            <w:shd w:val="clear" w:color="auto" w:fill="auto"/>
            <w:vAlign w:val="center"/>
            <w:hideMark/>
          </w:tcPr>
          <w:p w14:paraId="00F5B38F"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6CF63277"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3BFADDF1" w14:textId="77777777" w:rsidR="00AD3735" w:rsidRDefault="00AD3735">
            <w:pPr>
              <w:jc w:val="center"/>
              <w:rPr>
                <w:rFonts w:ascii="Arial" w:hAnsi="Arial" w:cs="Arial"/>
                <w:color w:val="000000"/>
                <w:sz w:val="20"/>
                <w:szCs w:val="20"/>
              </w:rPr>
            </w:pPr>
            <w:r>
              <w:rPr>
                <w:rFonts w:ascii="Arial" w:hAnsi="Arial" w:cs="Arial"/>
                <w:color w:val="000000"/>
                <w:sz w:val="20"/>
                <w:szCs w:val="20"/>
              </w:rPr>
              <w:t>5</w:t>
            </w:r>
          </w:p>
        </w:tc>
        <w:tc>
          <w:tcPr>
            <w:tcW w:w="962" w:type="dxa"/>
            <w:tcBorders>
              <w:top w:val="nil"/>
              <w:left w:val="nil"/>
              <w:bottom w:val="single" w:sz="4" w:space="0" w:color="auto"/>
              <w:right w:val="single" w:sz="4" w:space="0" w:color="auto"/>
            </w:tcBorders>
            <w:shd w:val="clear" w:color="auto" w:fill="auto"/>
            <w:noWrap/>
            <w:vAlign w:val="center"/>
            <w:hideMark/>
          </w:tcPr>
          <w:p w14:paraId="22213C5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36,22 </w:t>
            </w:r>
          </w:p>
        </w:tc>
        <w:tc>
          <w:tcPr>
            <w:tcW w:w="1141" w:type="dxa"/>
            <w:tcBorders>
              <w:top w:val="nil"/>
              <w:left w:val="nil"/>
              <w:bottom w:val="single" w:sz="4" w:space="0" w:color="auto"/>
              <w:right w:val="single" w:sz="4" w:space="0" w:color="auto"/>
            </w:tcBorders>
            <w:shd w:val="clear" w:color="auto" w:fill="auto"/>
            <w:noWrap/>
            <w:vAlign w:val="center"/>
            <w:hideMark/>
          </w:tcPr>
          <w:p w14:paraId="7014D4FB"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181,10 </w:t>
            </w:r>
          </w:p>
        </w:tc>
      </w:tr>
      <w:tr w:rsidR="00AD3735" w14:paraId="71328C77" w14:textId="77777777" w:rsidTr="0017033F">
        <w:trPr>
          <w:trHeight w:val="30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74B2AF" w14:textId="77777777" w:rsidR="00AD3735" w:rsidRDefault="00AD3735">
            <w:pPr>
              <w:jc w:val="center"/>
              <w:rPr>
                <w:rFonts w:ascii="Arial" w:hAnsi="Arial" w:cs="Arial"/>
                <w:color w:val="000000"/>
                <w:sz w:val="20"/>
                <w:szCs w:val="20"/>
              </w:rPr>
            </w:pPr>
            <w:r>
              <w:rPr>
                <w:rFonts w:ascii="Arial" w:hAnsi="Arial" w:cs="Arial"/>
                <w:color w:val="000000"/>
                <w:sz w:val="20"/>
                <w:szCs w:val="20"/>
              </w:rPr>
              <w:t>36</w:t>
            </w:r>
          </w:p>
        </w:tc>
        <w:tc>
          <w:tcPr>
            <w:tcW w:w="993" w:type="dxa"/>
            <w:tcBorders>
              <w:top w:val="nil"/>
              <w:left w:val="nil"/>
              <w:bottom w:val="single" w:sz="4" w:space="0" w:color="auto"/>
              <w:right w:val="single" w:sz="4" w:space="0" w:color="auto"/>
            </w:tcBorders>
            <w:shd w:val="clear" w:color="auto" w:fill="auto"/>
            <w:vAlign w:val="center"/>
            <w:hideMark/>
          </w:tcPr>
          <w:p w14:paraId="16F78E49"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291466</w:t>
            </w:r>
          </w:p>
        </w:tc>
        <w:tc>
          <w:tcPr>
            <w:tcW w:w="7654" w:type="dxa"/>
            <w:tcBorders>
              <w:top w:val="nil"/>
              <w:left w:val="nil"/>
              <w:bottom w:val="single" w:sz="4" w:space="0" w:color="auto"/>
              <w:right w:val="single" w:sz="4" w:space="0" w:color="auto"/>
            </w:tcBorders>
            <w:shd w:val="clear" w:color="auto" w:fill="auto"/>
            <w:vAlign w:val="center"/>
            <w:hideMark/>
          </w:tcPr>
          <w:p w14:paraId="321A4E87" w14:textId="77777777" w:rsidR="00AD3735" w:rsidRDefault="00AD3735">
            <w:pPr>
              <w:jc w:val="both"/>
              <w:rPr>
                <w:rFonts w:ascii="Arial" w:hAnsi="Arial" w:cs="Arial"/>
                <w:color w:val="000000"/>
                <w:sz w:val="20"/>
                <w:szCs w:val="20"/>
              </w:rPr>
            </w:pPr>
            <w:r>
              <w:rPr>
                <w:rFonts w:ascii="Arial" w:hAnsi="Arial" w:cs="Arial"/>
                <w:color w:val="000000"/>
                <w:sz w:val="20"/>
                <w:szCs w:val="20"/>
              </w:rPr>
              <w:t>Testador de cabo de rede rj 45, rj 11 com led indicador testador de cabo utp: com as seguintes características: permitir testar cabos montados com conectores rj-11 2 vias, rj-11 4 vias, rj-11 6 vias, rj-45 8 vias utp, rj-45 8 vias stp (blindado, coaxial (bnc) e usb; nos cabos rj-45 deve ser possível fazer teste dos padrões eia/tia 568a, eia/tia 568b e cross over; efetuar testes de transmissão e recepção de sinal desde o ponto do usuário (espelho/caixa de superfície) até o rack (patch panel); possuir leds indicativos para um rápido diagnóstico visual do teste indicando: transmissão dos fios nos cabos; interpretação dos resultados; carga da bateria; desligar automaticamente após alguns segundos da conclusão dos testes; ter dois módulos distintos: módulo principal transmissor de sinal e módulo remoto destacável receptor de sinal, que exercem função conjunta na operação dos testes; acompanhar uma bolsa para transporte e manual do produto; forma de alimentação: bateria 9v; deverá ser fornecido com bateria inclusa recarregável.</w:t>
            </w:r>
          </w:p>
        </w:tc>
        <w:tc>
          <w:tcPr>
            <w:tcW w:w="1155" w:type="dxa"/>
            <w:tcBorders>
              <w:top w:val="nil"/>
              <w:left w:val="nil"/>
              <w:bottom w:val="single" w:sz="4" w:space="0" w:color="auto"/>
              <w:right w:val="single" w:sz="4" w:space="0" w:color="auto"/>
            </w:tcBorders>
            <w:shd w:val="clear" w:color="auto" w:fill="auto"/>
            <w:vAlign w:val="center"/>
            <w:hideMark/>
          </w:tcPr>
          <w:p w14:paraId="364359E0"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0DBAF21"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16DA6D24" w14:textId="77777777" w:rsidR="00AD3735" w:rsidRDefault="00AD3735">
            <w:pPr>
              <w:jc w:val="center"/>
              <w:rPr>
                <w:rFonts w:ascii="Arial" w:hAnsi="Arial" w:cs="Arial"/>
                <w:color w:val="000000"/>
                <w:sz w:val="20"/>
                <w:szCs w:val="20"/>
              </w:rPr>
            </w:pPr>
            <w:r>
              <w:rPr>
                <w:rFonts w:ascii="Arial" w:hAnsi="Arial" w:cs="Arial"/>
                <w:color w:val="000000"/>
                <w:sz w:val="20"/>
                <w:szCs w:val="20"/>
              </w:rPr>
              <w:t>4</w:t>
            </w:r>
          </w:p>
        </w:tc>
        <w:tc>
          <w:tcPr>
            <w:tcW w:w="962" w:type="dxa"/>
            <w:tcBorders>
              <w:top w:val="nil"/>
              <w:left w:val="nil"/>
              <w:bottom w:val="single" w:sz="4" w:space="0" w:color="auto"/>
              <w:right w:val="single" w:sz="4" w:space="0" w:color="auto"/>
            </w:tcBorders>
            <w:shd w:val="clear" w:color="auto" w:fill="auto"/>
            <w:noWrap/>
            <w:vAlign w:val="center"/>
            <w:hideMark/>
          </w:tcPr>
          <w:p w14:paraId="5499C3F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97,00 </w:t>
            </w:r>
          </w:p>
        </w:tc>
        <w:tc>
          <w:tcPr>
            <w:tcW w:w="1141" w:type="dxa"/>
            <w:tcBorders>
              <w:top w:val="nil"/>
              <w:left w:val="nil"/>
              <w:bottom w:val="single" w:sz="4" w:space="0" w:color="auto"/>
              <w:right w:val="single" w:sz="4" w:space="0" w:color="auto"/>
            </w:tcBorders>
            <w:shd w:val="clear" w:color="auto" w:fill="auto"/>
            <w:noWrap/>
            <w:vAlign w:val="center"/>
            <w:hideMark/>
          </w:tcPr>
          <w:p w14:paraId="2A00867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388,00 </w:t>
            </w:r>
          </w:p>
        </w:tc>
      </w:tr>
      <w:tr w:rsidR="00AD3735" w14:paraId="628B24C4"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B43B541" w14:textId="77777777" w:rsidR="00AD3735" w:rsidRDefault="00AD3735">
            <w:pPr>
              <w:jc w:val="center"/>
              <w:rPr>
                <w:rFonts w:ascii="Arial" w:hAnsi="Arial" w:cs="Arial"/>
                <w:color w:val="000000"/>
                <w:sz w:val="20"/>
                <w:szCs w:val="20"/>
              </w:rPr>
            </w:pPr>
            <w:r>
              <w:rPr>
                <w:rFonts w:ascii="Arial" w:hAnsi="Arial" w:cs="Arial"/>
                <w:color w:val="000000"/>
                <w:sz w:val="20"/>
                <w:szCs w:val="20"/>
              </w:rPr>
              <w:lastRenderedPageBreak/>
              <w:t>37</w:t>
            </w:r>
          </w:p>
        </w:tc>
        <w:tc>
          <w:tcPr>
            <w:tcW w:w="993" w:type="dxa"/>
            <w:tcBorders>
              <w:top w:val="nil"/>
              <w:left w:val="nil"/>
              <w:bottom w:val="single" w:sz="4" w:space="0" w:color="auto"/>
              <w:right w:val="single" w:sz="4" w:space="0" w:color="auto"/>
            </w:tcBorders>
            <w:shd w:val="clear" w:color="auto" w:fill="auto"/>
            <w:vAlign w:val="center"/>
            <w:hideMark/>
          </w:tcPr>
          <w:p w14:paraId="2F8D5A8D"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461526</w:t>
            </w:r>
          </w:p>
        </w:tc>
        <w:tc>
          <w:tcPr>
            <w:tcW w:w="7654" w:type="dxa"/>
            <w:tcBorders>
              <w:top w:val="nil"/>
              <w:left w:val="nil"/>
              <w:bottom w:val="single" w:sz="4" w:space="0" w:color="auto"/>
              <w:right w:val="single" w:sz="4" w:space="0" w:color="auto"/>
            </w:tcBorders>
            <w:shd w:val="clear" w:color="auto" w:fill="auto"/>
            <w:vAlign w:val="center"/>
            <w:hideMark/>
          </w:tcPr>
          <w:p w14:paraId="5CD7A831" w14:textId="77777777" w:rsidR="00AD3735" w:rsidRDefault="00AD3735">
            <w:pPr>
              <w:jc w:val="both"/>
              <w:rPr>
                <w:rFonts w:ascii="Arial" w:hAnsi="Arial" w:cs="Arial"/>
                <w:color w:val="000000"/>
                <w:sz w:val="20"/>
                <w:szCs w:val="20"/>
              </w:rPr>
            </w:pPr>
            <w:r>
              <w:rPr>
                <w:rFonts w:ascii="Arial" w:hAnsi="Arial" w:cs="Arial"/>
                <w:color w:val="000000"/>
                <w:sz w:val="20"/>
                <w:szCs w:val="20"/>
              </w:rPr>
              <w:t>Pasta térmica - cor branca levemente brilhante - temperatura de trabalho -40 a 200 ºc - consistência pastosa - condutividade térmica 2,0 w/mk - componente básico silicone alto peso molecular - exudação 0,4% pote com 100 gramas.</w:t>
            </w:r>
          </w:p>
        </w:tc>
        <w:tc>
          <w:tcPr>
            <w:tcW w:w="1155" w:type="dxa"/>
            <w:tcBorders>
              <w:top w:val="nil"/>
              <w:left w:val="nil"/>
              <w:bottom w:val="single" w:sz="4" w:space="0" w:color="auto"/>
              <w:right w:val="single" w:sz="4" w:space="0" w:color="auto"/>
            </w:tcBorders>
            <w:shd w:val="clear" w:color="auto" w:fill="auto"/>
            <w:vAlign w:val="center"/>
            <w:hideMark/>
          </w:tcPr>
          <w:p w14:paraId="585C38E4"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64FF5B8B"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3367BFBC"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2E3359C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29,63 </w:t>
            </w:r>
          </w:p>
        </w:tc>
        <w:tc>
          <w:tcPr>
            <w:tcW w:w="1141" w:type="dxa"/>
            <w:tcBorders>
              <w:top w:val="nil"/>
              <w:left w:val="nil"/>
              <w:bottom w:val="single" w:sz="4" w:space="0" w:color="auto"/>
              <w:right w:val="single" w:sz="4" w:space="0" w:color="auto"/>
            </w:tcBorders>
            <w:shd w:val="clear" w:color="auto" w:fill="auto"/>
            <w:noWrap/>
            <w:vAlign w:val="center"/>
            <w:hideMark/>
          </w:tcPr>
          <w:p w14:paraId="0307EFE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888,90 </w:t>
            </w:r>
          </w:p>
        </w:tc>
      </w:tr>
      <w:tr w:rsidR="00AD3735" w14:paraId="79D96FC2" w14:textId="77777777" w:rsidTr="0017033F">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F0E67B9" w14:textId="77777777" w:rsidR="00AD3735" w:rsidRDefault="00AD3735">
            <w:pPr>
              <w:jc w:val="center"/>
              <w:rPr>
                <w:rFonts w:ascii="Arial" w:hAnsi="Arial" w:cs="Arial"/>
                <w:color w:val="000000"/>
                <w:sz w:val="20"/>
                <w:szCs w:val="20"/>
              </w:rPr>
            </w:pPr>
            <w:r>
              <w:rPr>
                <w:rFonts w:ascii="Arial" w:hAnsi="Arial" w:cs="Arial"/>
                <w:color w:val="000000"/>
                <w:sz w:val="20"/>
                <w:szCs w:val="20"/>
              </w:rPr>
              <w:t>38</w:t>
            </w:r>
          </w:p>
        </w:tc>
        <w:tc>
          <w:tcPr>
            <w:tcW w:w="993" w:type="dxa"/>
            <w:tcBorders>
              <w:top w:val="nil"/>
              <w:left w:val="nil"/>
              <w:bottom w:val="single" w:sz="4" w:space="0" w:color="auto"/>
              <w:right w:val="single" w:sz="4" w:space="0" w:color="auto"/>
            </w:tcBorders>
            <w:shd w:val="clear" w:color="auto" w:fill="auto"/>
            <w:vAlign w:val="center"/>
            <w:hideMark/>
          </w:tcPr>
          <w:p w14:paraId="36ADD9A2"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393438</w:t>
            </w:r>
          </w:p>
        </w:tc>
        <w:tc>
          <w:tcPr>
            <w:tcW w:w="7654" w:type="dxa"/>
            <w:tcBorders>
              <w:top w:val="nil"/>
              <w:left w:val="nil"/>
              <w:bottom w:val="single" w:sz="4" w:space="0" w:color="auto"/>
              <w:right w:val="single" w:sz="4" w:space="0" w:color="auto"/>
            </w:tcBorders>
            <w:shd w:val="clear" w:color="auto" w:fill="auto"/>
            <w:vAlign w:val="center"/>
            <w:hideMark/>
          </w:tcPr>
          <w:p w14:paraId="4682E2E2" w14:textId="77777777" w:rsidR="00AD3735" w:rsidRDefault="00AD3735">
            <w:pPr>
              <w:jc w:val="both"/>
              <w:rPr>
                <w:rFonts w:ascii="Arial" w:hAnsi="Arial" w:cs="Arial"/>
                <w:color w:val="000000"/>
                <w:sz w:val="20"/>
                <w:szCs w:val="20"/>
              </w:rPr>
            </w:pPr>
            <w:r>
              <w:rPr>
                <w:rFonts w:ascii="Arial" w:hAnsi="Arial" w:cs="Arial"/>
                <w:color w:val="000000"/>
                <w:sz w:val="20"/>
                <w:szCs w:val="20"/>
              </w:rPr>
              <w:t>Ferro de soldar, potência 60 w, tensão 110 v, aplicação serviços de manutenção</w:t>
            </w:r>
          </w:p>
        </w:tc>
        <w:tc>
          <w:tcPr>
            <w:tcW w:w="1155" w:type="dxa"/>
            <w:tcBorders>
              <w:top w:val="nil"/>
              <w:left w:val="nil"/>
              <w:bottom w:val="single" w:sz="4" w:space="0" w:color="auto"/>
              <w:right w:val="single" w:sz="4" w:space="0" w:color="auto"/>
            </w:tcBorders>
            <w:shd w:val="clear" w:color="auto" w:fill="auto"/>
            <w:vAlign w:val="center"/>
            <w:hideMark/>
          </w:tcPr>
          <w:p w14:paraId="2646D96F"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07104F4B"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17BEAD2A" w14:textId="77777777" w:rsidR="00AD3735" w:rsidRDefault="00AD3735">
            <w:pPr>
              <w:jc w:val="center"/>
              <w:rPr>
                <w:rFonts w:ascii="Arial" w:hAnsi="Arial" w:cs="Arial"/>
                <w:color w:val="000000"/>
                <w:sz w:val="20"/>
                <w:szCs w:val="20"/>
              </w:rPr>
            </w:pPr>
            <w:r>
              <w:rPr>
                <w:rFonts w:ascii="Arial" w:hAnsi="Arial" w:cs="Arial"/>
                <w:color w:val="000000"/>
                <w:sz w:val="20"/>
                <w:szCs w:val="20"/>
              </w:rPr>
              <w:t>4</w:t>
            </w:r>
          </w:p>
        </w:tc>
        <w:tc>
          <w:tcPr>
            <w:tcW w:w="962" w:type="dxa"/>
            <w:tcBorders>
              <w:top w:val="nil"/>
              <w:left w:val="nil"/>
              <w:bottom w:val="single" w:sz="4" w:space="0" w:color="auto"/>
              <w:right w:val="single" w:sz="4" w:space="0" w:color="auto"/>
            </w:tcBorders>
            <w:shd w:val="clear" w:color="auto" w:fill="auto"/>
            <w:noWrap/>
            <w:vAlign w:val="center"/>
            <w:hideMark/>
          </w:tcPr>
          <w:p w14:paraId="0905F19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51,00 </w:t>
            </w:r>
          </w:p>
        </w:tc>
        <w:tc>
          <w:tcPr>
            <w:tcW w:w="1141" w:type="dxa"/>
            <w:tcBorders>
              <w:top w:val="nil"/>
              <w:left w:val="nil"/>
              <w:bottom w:val="single" w:sz="4" w:space="0" w:color="auto"/>
              <w:right w:val="single" w:sz="4" w:space="0" w:color="auto"/>
            </w:tcBorders>
            <w:shd w:val="clear" w:color="auto" w:fill="auto"/>
            <w:noWrap/>
            <w:vAlign w:val="center"/>
            <w:hideMark/>
          </w:tcPr>
          <w:p w14:paraId="4411CC5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204,00 </w:t>
            </w:r>
          </w:p>
        </w:tc>
      </w:tr>
      <w:tr w:rsidR="00AD3735" w14:paraId="4327E07A"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5A1683A" w14:textId="77777777" w:rsidR="00AD3735" w:rsidRDefault="00AD3735">
            <w:pPr>
              <w:jc w:val="center"/>
              <w:rPr>
                <w:rFonts w:ascii="Arial" w:hAnsi="Arial" w:cs="Arial"/>
                <w:color w:val="000000"/>
                <w:sz w:val="20"/>
                <w:szCs w:val="20"/>
              </w:rPr>
            </w:pPr>
            <w:r>
              <w:rPr>
                <w:rFonts w:ascii="Arial" w:hAnsi="Arial" w:cs="Arial"/>
                <w:color w:val="000000"/>
                <w:sz w:val="20"/>
                <w:szCs w:val="20"/>
              </w:rPr>
              <w:t>39</w:t>
            </w:r>
          </w:p>
        </w:tc>
        <w:tc>
          <w:tcPr>
            <w:tcW w:w="993" w:type="dxa"/>
            <w:tcBorders>
              <w:top w:val="nil"/>
              <w:left w:val="nil"/>
              <w:bottom w:val="single" w:sz="4" w:space="0" w:color="auto"/>
              <w:right w:val="single" w:sz="4" w:space="0" w:color="auto"/>
            </w:tcBorders>
            <w:shd w:val="clear" w:color="auto" w:fill="auto"/>
            <w:vAlign w:val="center"/>
            <w:hideMark/>
          </w:tcPr>
          <w:p w14:paraId="3C285190"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274784</w:t>
            </w:r>
          </w:p>
        </w:tc>
        <w:tc>
          <w:tcPr>
            <w:tcW w:w="7654" w:type="dxa"/>
            <w:tcBorders>
              <w:top w:val="nil"/>
              <w:left w:val="nil"/>
              <w:bottom w:val="single" w:sz="4" w:space="0" w:color="auto"/>
              <w:right w:val="single" w:sz="4" w:space="0" w:color="auto"/>
            </w:tcBorders>
            <w:shd w:val="clear" w:color="auto" w:fill="auto"/>
            <w:vAlign w:val="center"/>
            <w:hideMark/>
          </w:tcPr>
          <w:p w14:paraId="71CDC8A4" w14:textId="77777777" w:rsidR="00AD3735" w:rsidRDefault="00AD3735">
            <w:pPr>
              <w:jc w:val="both"/>
              <w:rPr>
                <w:rFonts w:ascii="Arial" w:hAnsi="Arial" w:cs="Arial"/>
                <w:color w:val="000000"/>
                <w:sz w:val="20"/>
                <w:szCs w:val="20"/>
              </w:rPr>
            </w:pPr>
            <w:r>
              <w:rPr>
                <w:rFonts w:ascii="Arial" w:hAnsi="Arial" w:cs="Arial"/>
                <w:color w:val="000000"/>
                <w:sz w:val="20"/>
                <w:szCs w:val="20"/>
              </w:rPr>
              <w:t>Sugador de solda - corpo de alumínio resistente; - gatilhos e ponteira de material isolado; - protetor moldável e resistente ao calor para a ponteira; dimensões aproximadas (comprimento x diâmetro): 19 cm x 2 cm</w:t>
            </w:r>
          </w:p>
        </w:tc>
        <w:tc>
          <w:tcPr>
            <w:tcW w:w="1155" w:type="dxa"/>
            <w:tcBorders>
              <w:top w:val="nil"/>
              <w:left w:val="nil"/>
              <w:bottom w:val="single" w:sz="4" w:space="0" w:color="auto"/>
              <w:right w:val="single" w:sz="4" w:space="0" w:color="auto"/>
            </w:tcBorders>
            <w:shd w:val="clear" w:color="auto" w:fill="auto"/>
            <w:vAlign w:val="center"/>
            <w:hideMark/>
          </w:tcPr>
          <w:p w14:paraId="7E9738C8"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0A6A3E94"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28EF793A" w14:textId="77777777" w:rsidR="00AD3735" w:rsidRDefault="00AD3735">
            <w:pPr>
              <w:jc w:val="center"/>
              <w:rPr>
                <w:rFonts w:ascii="Arial" w:hAnsi="Arial" w:cs="Arial"/>
                <w:color w:val="000000"/>
                <w:sz w:val="20"/>
                <w:szCs w:val="20"/>
              </w:rPr>
            </w:pPr>
            <w:r>
              <w:rPr>
                <w:rFonts w:ascii="Arial" w:hAnsi="Arial" w:cs="Arial"/>
                <w:color w:val="000000"/>
                <w:sz w:val="20"/>
                <w:szCs w:val="20"/>
              </w:rPr>
              <w:t>6</w:t>
            </w:r>
          </w:p>
        </w:tc>
        <w:tc>
          <w:tcPr>
            <w:tcW w:w="962" w:type="dxa"/>
            <w:tcBorders>
              <w:top w:val="nil"/>
              <w:left w:val="nil"/>
              <w:bottom w:val="single" w:sz="4" w:space="0" w:color="auto"/>
              <w:right w:val="single" w:sz="4" w:space="0" w:color="auto"/>
            </w:tcBorders>
            <w:shd w:val="clear" w:color="auto" w:fill="auto"/>
            <w:noWrap/>
            <w:vAlign w:val="center"/>
            <w:hideMark/>
          </w:tcPr>
          <w:p w14:paraId="060A682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37,10 </w:t>
            </w:r>
          </w:p>
        </w:tc>
        <w:tc>
          <w:tcPr>
            <w:tcW w:w="1141" w:type="dxa"/>
            <w:tcBorders>
              <w:top w:val="nil"/>
              <w:left w:val="nil"/>
              <w:bottom w:val="single" w:sz="4" w:space="0" w:color="auto"/>
              <w:right w:val="single" w:sz="4" w:space="0" w:color="auto"/>
            </w:tcBorders>
            <w:shd w:val="clear" w:color="auto" w:fill="auto"/>
            <w:noWrap/>
            <w:vAlign w:val="center"/>
            <w:hideMark/>
          </w:tcPr>
          <w:p w14:paraId="584AA850"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222,60 </w:t>
            </w:r>
          </w:p>
        </w:tc>
      </w:tr>
      <w:tr w:rsidR="00AD3735" w14:paraId="7ABE9631"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BDB72DF" w14:textId="77777777" w:rsidR="00AD3735" w:rsidRDefault="00AD3735">
            <w:pPr>
              <w:jc w:val="center"/>
              <w:rPr>
                <w:rFonts w:ascii="Arial" w:hAnsi="Arial" w:cs="Arial"/>
                <w:color w:val="000000"/>
                <w:sz w:val="20"/>
                <w:szCs w:val="20"/>
              </w:rPr>
            </w:pPr>
            <w:r>
              <w:rPr>
                <w:rFonts w:ascii="Arial" w:hAnsi="Arial" w:cs="Arial"/>
                <w:color w:val="000000"/>
                <w:sz w:val="20"/>
                <w:szCs w:val="20"/>
              </w:rPr>
              <w:t>40</w:t>
            </w:r>
          </w:p>
        </w:tc>
        <w:tc>
          <w:tcPr>
            <w:tcW w:w="993" w:type="dxa"/>
            <w:tcBorders>
              <w:top w:val="nil"/>
              <w:left w:val="nil"/>
              <w:bottom w:val="single" w:sz="4" w:space="0" w:color="auto"/>
              <w:right w:val="single" w:sz="4" w:space="0" w:color="auto"/>
            </w:tcBorders>
            <w:shd w:val="clear" w:color="auto" w:fill="auto"/>
            <w:vAlign w:val="center"/>
            <w:hideMark/>
          </w:tcPr>
          <w:p w14:paraId="5CD2CAF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393352</w:t>
            </w:r>
          </w:p>
        </w:tc>
        <w:tc>
          <w:tcPr>
            <w:tcW w:w="7654" w:type="dxa"/>
            <w:tcBorders>
              <w:top w:val="nil"/>
              <w:left w:val="nil"/>
              <w:bottom w:val="single" w:sz="4" w:space="0" w:color="auto"/>
              <w:right w:val="single" w:sz="4" w:space="0" w:color="auto"/>
            </w:tcBorders>
            <w:shd w:val="clear" w:color="auto" w:fill="auto"/>
            <w:vAlign w:val="center"/>
            <w:hideMark/>
          </w:tcPr>
          <w:p w14:paraId="1DC0A286" w14:textId="77777777" w:rsidR="00AD3735" w:rsidRDefault="00AD3735">
            <w:pPr>
              <w:jc w:val="both"/>
              <w:rPr>
                <w:rFonts w:ascii="Arial" w:hAnsi="Arial" w:cs="Arial"/>
                <w:color w:val="000000"/>
                <w:sz w:val="20"/>
                <w:szCs w:val="20"/>
              </w:rPr>
            </w:pPr>
            <w:r>
              <w:rPr>
                <w:rFonts w:ascii="Arial" w:hAnsi="Arial" w:cs="Arial"/>
                <w:color w:val="000000"/>
                <w:sz w:val="20"/>
                <w:szCs w:val="20"/>
              </w:rPr>
              <w:t>Rolo de solda de estanho, tipo sólido, diâmetro 1,00 mm, aplicação serviço elétrico e eletrônico rolo com 500 g</w:t>
            </w:r>
          </w:p>
        </w:tc>
        <w:tc>
          <w:tcPr>
            <w:tcW w:w="1155" w:type="dxa"/>
            <w:tcBorders>
              <w:top w:val="nil"/>
              <w:left w:val="nil"/>
              <w:bottom w:val="single" w:sz="4" w:space="0" w:color="auto"/>
              <w:right w:val="single" w:sz="4" w:space="0" w:color="auto"/>
            </w:tcBorders>
            <w:shd w:val="clear" w:color="auto" w:fill="auto"/>
            <w:vAlign w:val="center"/>
            <w:hideMark/>
          </w:tcPr>
          <w:p w14:paraId="0227A4C8" w14:textId="77777777" w:rsidR="00AD3735" w:rsidRDefault="00AD3735">
            <w:pPr>
              <w:jc w:val="center"/>
              <w:rPr>
                <w:rFonts w:ascii="Arial" w:hAnsi="Arial" w:cs="Arial"/>
                <w:color w:val="0A0A0A"/>
                <w:sz w:val="20"/>
                <w:szCs w:val="20"/>
              </w:rPr>
            </w:pPr>
            <w:r>
              <w:rPr>
                <w:rFonts w:ascii="Arial" w:hAnsi="Arial" w:cs="Arial"/>
                <w:color w:val="0A0A0A"/>
                <w:sz w:val="20"/>
                <w:szCs w:val="20"/>
              </w:rPr>
              <w:t>Rolo 500g</w:t>
            </w:r>
          </w:p>
        </w:tc>
        <w:tc>
          <w:tcPr>
            <w:tcW w:w="829" w:type="dxa"/>
            <w:tcBorders>
              <w:top w:val="nil"/>
              <w:left w:val="nil"/>
              <w:bottom w:val="single" w:sz="4" w:space="0" w:color="auto"/>
              <w:right w:val="single" w:sz="4" w:space="0" w:color="auto"/>
            </w:tcBorders>
            <w:shd w:val="clear" w:color="auto" w:fill="auto"/>
            <w:vAlign w:val="center"/>
            <w:hideMark/>
          </w:tcPr>
          <w:p w14:paraId="45E945AD"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2122E075" w14:textId="77777777" w:rsidR="00AD3735" w:rsidRDefault="00AD3735">
            <w:pPr>
              <w:jc w:val="center"/>
              <w:rPr>
                <w:rFonts w:ascii="Arial" w:hAnsi="Arial" w:cs="Arial"/>
                <w:color w:val="000000"/>
                <w:sz w:val="20"/>
                <w:szCs w:val="20"/>
              </w:rPr>
            </w:pPr>
            <w:r>
              <w:rPr>
                <w:rFonts w:ascii="Arial" w:hAnsi="Arial" w:cs="Arial"/>
                <w:color w:val="000000"/>
                <w:sz w:val="20"/>
                <w:szCs w:val="20"/>
              </w:rPr>
              <w:t>12</w:t>
            </w:r>
          </w:p>
        </w:tc>
        <w:tc>
          <w:tcPr>
            <w:tcW w:w="962" w:type="dxa"/>
            <w:tcBorders>
              <w:top w:val="nil"/>
              <w:left w:val="nil"/>
              <w:bottom w:val="single" w:sz="4" w:space="0" w:color="auto"/>
              <w:right w:val="single" w:sz="4" w:space="0" w:color="auto"/>
            </w:tcBorders>
            <w:shd w:val="clear" w:color="auto" w:fill="auto"/>
            <w:noWrap/>
            <w:vAlign w:val="center"/>
            <w:hideMark/>
          </w:tcPr>
          <w:p w14:paraId="5209B47B"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86,25 </w:t>
            </w:r>
          </w:p>
        </w:tc>
        <w:tc>
          <w:tcPr>
            <w:tcW w:w="1141" w:type="dxa"/>
            <w:tcBorders>
              <w:top w:val="nil"/>
              <w:left w:val="nil"/>
              <w:bottom w:val="single" w:sz="4" w:space="0" w:color="auto"/>
              <w:right w:val="single" w:sz="4" w:space="0" w:color="auto"/>
            </w:tcBorders>
            <w:shd w:val="clear" w:color="auto" w:fill="auto"/>
            <w:noWrap/>
            <w:vAlign w:val="center"/>
            <w:hideMark/>
          </w:tcPr>
          <w:p w14:paraId="595DB39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1.035,00 </w:t>
            </w:r>
          </w:p>
        </w:tc>
      </w:tr>
      <w:tr w:rsidR="00AD3735" w14:paraId="1BC79E5C"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94D1CE" w14:textId="77777777" w:rsidR="00AD3735" w:rsidRDefault="00AD3735">
            <w:pPr>
              <w:jc w:val="center"/>
              <w:rPr>
                <w:rFonts w:ascii="Arial" w:hAnsi="Arial" w:cs="Arial"/>
                <w:color w:val="000000"/>
                <w:sz w:val="20"/>
                <w:szCs w:val="20"/>
              </w:rPr>
            </w:pPr>
            <w:r>
              <w:rPr>
                <w:rFonts w:ascii="Arial" w:hAnsi="Arial" w:cs="Arial"/>
                <w:color w:val="000000"/>
                <w:sz w:val="20"/>
                <w:szCs w:val="20"/>
              </w:rPr>
              <w:t>41</w:t>
            </w:r>
          </w:p>
        </w:tc>
        <w:tc>
          <w:tcPr>
            <w:tcW w:w="993" w:type="dxa"/>
            <w:tcBorders>
              <w:top w:val="nil"/>
              <w:left w:val="nil"/>
              <w:bottom w:val="single" w:sz="4" w:space="0" w:color="auto"/>
              <w:right w:val="single" w:sz="4" w:space="0" w:color="auto"/>
            </w:tcBorders>
            <w:shd w:val="clear" w:color="auto" w:fill="auto"/>
            <w:vAlign w:val="center"/>
            <w:hideMark/>
          </w:tcPr>
          <w:p w14:paraId="7441BD59"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470794</w:t>
            </w:r>
          </w:p>
        </w:tc>
        <w:tc>
          <w:tcPr>
            <w:tcW w:w="7654" w:type="dxa"/>
            <w:tcBorders>
              <w:top w:val="nil"/>
              <w:left w:val="nil"/>
              <w:bottom w:val="single" w:sz="4" w:space="0" w:color="auto"/>
              <w:right w:val="single" w:sz="4" w:space="0" w:color="auto"/>
            </w:tcBorders>
            <w:shd w:val="clear" w:color="auto" w:fill="auto"/>
            <w:vAlign w:val="center"/>
            <w:hideMark/>
          </w:tcPr>
          <w:p w14:paraId="190A06BB" w14:textId="77777777" w:rsidR="00AD3735" w:rsidRDefault="00AD3735">
            <w:pPr>
              <w:jc w:val="both"/>
              <w:rPr>
                <w:rFonts w:ascii="Arial" w:hAnsi="Arial" w:cs="Arial"/>
                <w:color w:val="000000"/>
                <w:sz w:val="20"/>
                <w:szCs w:val="20"/>
              </w:rPr>
            </w:pPr>
            <w:r>
              <w:rPr>
                <w:rFonts w:ascii="Arial" w:hAnsi="Arial" w:cs="Arial"/>
                <w:color w:val="000000"/>
                <w:sz w:val="20"/>
                <w:szCs w:val="20"/>
              </w:rPr>
              <w:t>Conjunto de pinças de precisão, conjunto de 6 pinças esd, kit de pinças antiestáticas de aço inoxidável, ponta angulada/dobrada/cabeça chata e pinças de aço inoxidável para laboratório de informática</w:t>
            </w:r>
          </w:p>
        </w:tc>
        <w:tc>
          <w:tcPr>
            <w:tcW w:w="1155" w:type="dxa"/>
            <w:tcBorders>
              <w:top w:val="nil"/>
              <w:left w:val="nil"/>
              <w:bottom w:val="single" w:sz="4" w:space="0" w:color="auto"/>
              <w:right w:val="single" w:sz="4" w:space="0" w:color="auto"/>
            </w:tcBorders>
            <w:shd w:val="clear" w:color="auto" w:fill="auto"/>
            <w:vAlign w:val="center"/>
            <w:hideMark/>
          </w:tcPr>
          <w:p w14:paraId="30B0F01A" w14:textId="77777777" w:rsidR="00AD3735" w:rsidRDefault="00AD3735">
            <w:pPr>
              <w:jc w:val="center"/>
              <w:rPr>
                <w:rFonts w:ascii="Arial" w:hAnsi="Arial" w:cs="Arial"/>
                <w:color w:val="0A0A0A"/>
                <w:sz w:val="20"/>
                <w:szCs w:val="20"/>
              </w:rPr>
            </w:pPr>
            <w:r>
              <w:rPr>
                <w:rFonts w:ascii="Arial" w:hAnsi="Arial" w:cs="Arial"/>
                <w:color w:val="0A0A0A"/>
                <w:sz w:val="20"/>
                <w:szCs w:val="20"/>
              </w:rPr>
              <w:t>Kit 6 und</w:t>
            </w:r>
          </w:p>
        </w:tc>
        <w:tc>
          <w:tcPr>
            <w:tcW w:w="829" w:type="dxa"/>
            <w:tcBorders>
              <w:top w:val="nil"/>
              <w:left w:val="nil"/>
              <w:bottom w:val="single" w:sz="4" w:space="0" w:color="auto"/>
              <w:right w:val="single" w:sz="4" w:space="0" w:color="auto"/>
            </w:tcBorders>
            <w:shd w:val="clear" w:color="auto" w:fill="auto"/>
            <w:vAlign w:val="center"/>
            <w:hideMark/>
          </w:tcPr>
          <w:p w14:paraId="0EF7E9D1"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57D1BEA2" w14:textId="77777777" w:rsidR="00AD3735" w:rsidRDefault="00AD3735">
            <w:pPr>
              <w:jc w:val="center"/>
              <w:rPr>
                <w:rFonts w:ascii="Arial" w:hAnsi="Arial" w:cs="Arial"/>
                <w:color w:val="000000"/>
                <w:sz w:val="20"/>
                <w:szCs w:val="20"/>
              </w:rPr>
            </w:pPr>
            <w:r>
              <w:rPr>
                <w:rFonts w:ascii="Arial" w:hAnsi="Arial" w:cs="Arial"/>
                <w:color w:val="000000"/>
                <w:sz w:val="20"/>
                <w:szCs w:val="20"/>
              </w:rPr>
              <w:t>5</w:t>
            </w:r>
          </w:p>
        </w:tc>
        <w:tc>
          <w:tcPr>
            <w:tcW w:w="962" w:type="dxa"/>
            <w:tcBorders>
              <w:top w:val="nil"/>
              <w:left w:val="nil"/>
              <w:bottom w:val="single" w:sz="4" w:space="0" w:color="auto"/>
              <w:right w:val="single" w:sz="4" w:space="0" w:color="auto"/>
            </w:tcBorders>
            <w:shd w:val="clear" w:color="auto" w:fill="auto"/>
            <w:noWrap/>
            <w:vAlign w:val="center"/>
            <w:hideMark/>
          </w:tcPr>
          <w:p w14:paraId="248B202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66,84 </w:t>
            </w:r>
          </w:p>
        </w:tc>
        <w:tc>
          <w:tcPr>
            <w:tcW w:w="1141" w:type="dxa"/>
            <w:tcBorders>
              <w:top w:val="nil"/>
              <w:left w:val="nil"/>
              <w:bottom w:val="single" w:sz="4" w:space="0" w:color="auto"/>
              <w:right w:val="single" w:sz="4" w:space="0" w:color="auto"/>
            </w:tcBorders>
            <w:shd w:val="clear" w:color="auto" w:fill="auto"/>
            <w:noWrap/>
            <w:vAlign w:val="center"/>
            <w:hideMark/>
          </w:tcPr>
          <w:p w14:paraId="085E113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334,20 </w:t>
            </w:r>
          </w:p>
        </w:tc>
      </w:tr>
      <w:tr w:rsidR="00AD3735" w14:paraId="7D7DC820"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413036A" w14:textId="77777777" w:rsidR="00AD3735" w:rsidRDefault="00AD3735">
            <w:pPr>
              <w:jc w:val="center"/>
              <w:rPr>
                <w:rFonts w:ascii="Arial" w:hAnsi="Arial" w:cs="Arial"/>
                <w:color w:val="000000"/>
                <w:sz w:val="20"/>
                <w:szCs w:val="20"/>
              </w:rPr>
            </w:pPr>
            <w:r>
              <w:rPr>
                <w:rFonts w:ascii="Arial" w:hAnsi="Arial" w:cs="Arial"/>
                <w:color w:val="000000"/>
                <w:sz w:val="20"/>
                <w:szCs w:val="20"/>
              </w:rPr>
              <w:t>42</w:t>
            </w:r>
          </w:p>
        </w:tc>
        <w:tc>
          <w:tcPr>
            <w:tcW w:w="993" w:type="dxa"/>
            <w:tcBorders>
              <w:top w:val="nil"/>
              <w:left w:val="nil"/>
              <w:bottom w:val="single" w:sz="4" w:space="0" w:color="auto"/>
              <w:right w:val="single" w:sz="4" w:space="0" w:color="auto"/>
            </w:tcBorders>
            <w:shd w:val="clear" w:color="auto" w:fill="auto"/>
            <w:noWrap/>
            <w:vAlign w:val="center"/>
            <w:hideMark/>
          </w:tcPr>
          <w:p w14:paraId="7876EB19"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336881</w:t>
            </w:r>
          </w:p>
        </w:tc>
        <w:tc>
          <w:tcPr>
            <w:tcW w:w="7654" w:type="dxa"/>
            <w:tcBorders>
              <w:top w:val="nil"/>
              <w:left w:val="nil"/>
              <w:bottom w:val="single" w:sz="4" w:space="0" w:color="auto"/>
              <w:right w:val="single" w:sz="4" w:space="0" w:color="auto"/>
            </w:tcBorders>
            <w:shd w:val="clear" w:color="auto" w:fill="auto"/>
            <w:vAlign w:val="center"/>
            <w:hideMark/>
          </w:tcPr>
          <w:p w14:paraId="05260603"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Alicate corte diagonal 6 polegadas - material do corpo do alicate: aço cromo vanádio, comprimento total do alicate: 6'' - 152 mm, acabamento do alicate: polido, tipo do cabo do alicate: cabo isolado 1000 v, cor do cabo amarelo, dimensões aproximadas: ‎12x540x400mm </w:t>
            </w:r>
          </w:p>
        </w:tc>
        <w:tc>
          <w:tcPr>
            <w:tcW w:w="1155" w:type="dxa"/>
            <w:tcBorders>
              <w:top w:val="nil"/>
              <w:left w:val="nil"/>
              <w:bottom w:val="single" w:sz="4" w:space="0" w:color="auto"/>
              <w:right w:val="single" w:sz="4" w:space="0" w:color="auto"/>
            </w:tcBorders>
            <w:shd w:val="clear" w:color="auto" w:fill="auto"/>
            <w:vAlign w:val="center"/>
            <w:hideMark/>
          </w:tcPr>
          <w:p w14:paraId="1EC1522C"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nil"/>
              <w:right w:val="nil"/>
            </w:tcBorders>
            <w:shd w:val="clear" w:color="auto" w:fill="auto"/>
            <w:noWrap/>
            <w:vAlign w:val="center"/>
            <w:hideMark/>
          </w:tcPr>
          <w:p w14:paraId="797A147C"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single" w:sz="4" w:space="0" w:color="auto"/>
              <w:bottom w:val="single" w:sz="4" w:space="0" w:color="auto"/>
              <w:right w:val="single" w:sz="4" w:space="0" w:color="auto"/>
            </w:tcBorders>
            <w:shd w:val="clear" w:color="auto" w:fill="auto"/>
            <w:vAlign w:val="center"/>
            <w:hideMark/>
          </w:tcPr>
          <w:p w14:paraId="5B70C338" w14:textId="77777777" w:rsidR="00AD3735" w:rsidRDefault="00AD3735">
            <w:pPr>
              <w:jc w:val="center"/>
              <w:rPr>
                <w:rFonts w:ascii="Arial" w:hAnsi="Arial" w:cs="Arial"/>
                <w:color w:val="000000"/>
                <w:sz w:val="20"/>
                <w:szCs w:val="20"/>
              </w:rPr>
            </w:pPr>
            <w:r>
              <w:rPr>
                <w:rFonts w:ascii="Arial" w:hAnsi="Arial" w:cs="Arial"/>
                <w:color w:val="000000"/>
                <w:sz w:val="20"/>
                <w:szCs w:val="20"/>
              </w:rPr>
              <w:t>4</w:t>
            </w:r>
          </w:p>
        </w:tc>
        <w:tc>
          <w:tcPr>
            <w:tcW w:w="962" w:type="dxa"/>
            <w:tcBorders>
              <w:top w:val="nil"/>
              <w:left w:val="nil"/>
              <w:bottom w:val="single" w:sz="4" w:space="0" w:color="auto"/>
              <w:right w:val="single" w:sz="4" w:space="0" w:color="auto"/>
            </w:tcBorders>
            <w:shd w:val="clear" w:color="auto" w:fill="auto"/>
            <w:noWrap/>
            <w:vAlign w:val="center"/>
            <w:hideMark/>
          </w:tcPr>
          <w:p w14:paraId="0FFE240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35,70 </w:t>
            </w:r>
          </w:p>
        </w:tc>
        <w:tc>
          <w:tcPr>
            <w:tcW w:w="1141" w:type="dxa"/>
            <w:tcBorders>
              <w:top w:val="nil"/>
              <w:left w:val="nil"/>
              <w:bottom w:val="single" w:sz="4" w:space="0" w:color="auto"/>
              <w:right w:val="single" w:sz="4" w:space="0" w:color="auto"/>
            </w:tcBorders>
            <w:shd w:val="clear" w:color="auto" w:fill="auto"/>
            <w:noWrap/>
            <w:vAlign w:val="center"/>
            <w:hideMark/>
          </w:tcPr>
          <w:p w14:paraId="23B8A42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142,80 </w:t>
            </w:r>
          </w:p>
        </w:tc>
      </w:tr>
      <w:tr w:rsidR="00AD3735" w14:paraId="279F2ED0"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D7365AA" w14:textId="77777777" w:rsidR="00AD3735" w:rsidRDefault="00AD3735">
            <w:pPr>
              <w:jc w:val="center"/>
              <w:rPr>
                <w:rFonts w:ascii="Arial" w:hAnsi="Arial" w:cs="Arial"/>
                <w:color w:val="000000"/>
                <w:sz w:val="20"/>
                <w:szCs w:val="20"/>
              </w:rPr>
            </w:pPr>
            <w:r>
              <w:rPr>
                <w:rFonts w:ascii="Arial" w:hAnsi="Arial" w:cs="Arial"/>
                <w:color w:val="000000"/>
                <w:sz w:val="20"/>
                <w:szCs w:val="20"/>
              </w:rPr>
              <w:t>43</w:t>
            </w:r>
          </w:p>
        </w:tc>
        <w:tc>
          <w:tcPr>
            <w:tcW w:w="993" w:type="dxa"/>
            <w:tcBorders>
              <w:top w:val="nil"/>
              <w:left w:val="nil"/>
              <w:bottom w:val="single" w:sz="4" w:space="0" w:color="auto"/>
              <w:right w:val="single" w:sz="4" w:space="0" w:color="auto"/>
            </w:tcBorders>
            <w:shd w:val="clear" w:color="auto" w:fill="auto"/>
            <w:vAlign w:val="center"/>
            <w:hideMark/>
          </w:tcPr>
          <w:p w14:paraId="2F101648"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450110</w:t>
            </w:r>
          </w:p>
        </w:tc>
        <w:tc>
          <w:tcPr>
            <w:tcW w:w="7654" w:type="dxa"/>
            <w:tcBorders>
              <w:top w:val="nil"/>
              <w:left w:val="nil"/>
              <w:bottom w:val="single" w:sz="4" w:space="0" w:color="auto"/>
              <w:right w:val="single" w:sz="4" w:space="0" w:color="auto"/>
            </w:tcBorders>
            <w:shd w:val="clear" w:color="auto" w:fill="auto"/>
            <w:vAlign w:val="center"/>
            <w:hideMark/>
          </w:tcPr>
          <w:p w14:paraId="173394BC" w14:textId="77777777" w:rsidR="00AD3735" w:rsidRDefault="00AD3735">
            <w:pPr>
              <w:jc w:val="both"/>
              <w:rPr>
                <w:rFonts w:ascii="Arial" w:hAnsi="Arial" w:cs="Arial"/>
                <w:color w:val="000000"/>
                <w:sz w:val="20"/>
                <w:szCs w:val="20"/>
              </w:rPr>
            </w:pPr>
            <w:r>
              <w:rPr>
                <w:rFonts w:ascii="Arial" w:hAnsi="Arial" w:cs="Arial"/>
                <w:color w:val="000000"/>
                <w:sz w:val="20"/>
                <w:szCs w:val="20"/>
              </w:rPr>
              <w:t>Alicate descascar fio de precisão 8pol, material aço estampado, comprimento 203 mm, aplicação descascador cabo utp 4 pares, componentes quatro matrizes/lamina decapar cabo ajustável, material aço cromo vanádio</w:t>
            </w:r>
          </w:p>
        </w:tc>
        <w:tc>
          <w:tcPr>
            <w:tcW w:w="1155" w:type="dxa"/>
            <w:tcBorders>
              <w:top w:val="nil"/>
              <w:left w:val="nil"/>
              <w:bottom w:val="single" w:sz="4" w:space="0" w:color="auto"/>
              <w:right w:val="single" w:sz="4" w:space="0" w:color="auto"/>
            </w:tcBorders>
            <w:shd w:val="clear" w:color="auto" w:fill="auto"/>
            <w:vAlign w:val="center"/>
            <w:hideMark/>
          </w:tcPr>
          <w:p w14:paraId="30DDBC33"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4589CA71"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522829B1" w14:textId="77777777" w:rsidR="00AD3735" w:rsidRDefault="00AD3735">
            <w:pPr>
              <w:jc w:val="center"/>
              <w:rPr>
                <w:rFonts w:ascii="Arial" w:hAnsi="Arial" w:cs="Arial"/>
                <w:color w:val="000000"/>
                <w:sz w:val="20"/>
                <w:szCs w:val="20"/>
              </w:rPr>
            </w:pPr>
            <w:r>
              <w:rPr>
                <w:rFonts w:ascii="Arial" w:hAnsi="Arial" w:cs="Arial"/>
                <w:color w:val="000000"/>
                <w:sz w:val="20"/>
                <w:szCs w:val="20"/>
              </w:rPr>
              <w:t>5</w:t>
            </w:r>
          </w:p>
        </w:tc>
        <w:tc>
          <w:tcPr>
            <w:tcW w:w="962" w:type="dxa"/>
            <w:tcBorders>
              <w:top w:val="nil"/>
              <w:left w:val="nil"/>
              <w:bottom w:val="single" w:sz="4" w:space="0" w:color="auto"/>
              <w:right w:val="single" w:sz="4" w:space="0" w:color="auto"/>
            </w:tcBorders>
            <w:shd w:val="clear" w:color="auto" w:fill="auto"/>
            <w:noWrap/>
            <w:vAlign w:val="center"/>
            <w:hideMark/>
          </w:tcPr>
          <w:p w14:paraId="69D4409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134,85 </w:t>
            </w:r>
          </w:p>
        </w:tc>
        <w:tc>
          <w:tcPr>
            <w:tcW w:w="1141" w:type="dxa"/>
            <w:tcBorders>
              <w:top w:val="nil"/>
              <w:left w:val="nil"/>
              <w:bottom w:val="single" w:sz="4" w:space="0" w:color="auto"/>
              <w:right w:val="single" w:sz="4" w:space="0" w:color="auto"/>
            </w:tcBorders>
            <w:shd w:val="clear" w:color="auto" w:fill="auto"/>
            <w:noWrap/>
            <w:vAlign w:val="center"/>
            <w:hideMark/>
          </w:tcPr>
          <w:p w14:paraId="0EBDEFA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674,25 </w:t>
            </w:r>
          </w:p>
        </w:tc>
      </w:tr>
      <w:tr w:rsidR="00AD3735" w14:paraId="48E149FF" w14:textId="77777777" w:rsidTr="0017033F">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0D398F0" w14:textId="77777777" w:rsidR="00AD3735" w:rsidRDefault="00AD3735">
            <w:pPr>
              <w:jc w:val="center"/>
              <w:rPr>
                <w:rFonts w:ascii="Arial" w:hAnsi="Arial" w:cs="Arial"/>
                <w:color w:val="000000"/>
                <w:sz w:val="20"/>
                <w:szCs w:val="20"/>
              </w:rPr>
            </w:pPr>
            <w:r>
              <w:rPr>
                <w:rFonts w:ascii="Arial" w:hAnsi="Arial" w:cs="Arial"/>
                <w:color w:val="000000"/>
                <w:sz w:val="20"/>
                <w:szCs w:val="20"/>
              </w:rPr>
              <w:t>44</w:t>
            </w:r>
          </w:p>
        </w:tc>
        <w:tc>
          <w:tcPr>
            <w:tcW w:w="993" w:type="dxa"/>
            <w:tcBorders>
              <w:top w:val="nil"/>
              <w:left w:val="nil"/>
              <w:bottom w:val="single" w:sz="4" w:space="0" w:color="auto"/>
              <w:right w:val="single" w:sz="4" w:space="0" w:color="auto"/>
            </w:tcBorders>
            <w:shd w:val="clear" w:color="auto" w:fill="auto"/>
            <w:vAlign w:val="center"/>
            <w:hideMark/>
          </w:tcPr>
          <w:p w14:paraId="709EEB94"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354551</w:t>
            </w:r>
          </w:p>
        </w:tc>
        <w:tc>
          <w:tcPr>
            <w:tcW w:w="7654" w:type="dxa"/>
            <w:tcBorders>
              <w:top w:val="nil"/>
              <w:left w:val="nil"/>
              <w:bottom w:val="single" w:sz="4" w:space="0" w:color="auto"/>
              <w:right w:val="single" w:sz="4" w:space="0" w:color="auto"/>
            </w:tcBorders>
            <w:shd w:val="clear" w:color="auto" w:fill="auto"/>
            <w:vAlign w:val="center"/>
            <w:hideMark/>
          </w:tcPr>
          <w:p w14:paraId="1BC0760B" w14:textId="77777777" w:rsidR="00AD3735" w:rsidRDefault="00AD3735">
            <w:pPr>
              <w:jc w:val="both"/>
              <w:rPr>
                <w:rFonts w:ascii="Arial" w:hAnsi="Arial" w:cs="Arial"/>
                <w:color w:val="000000"/>
                <w:sz w:val="20"/>
                <w:szCs w:val="20"/>
              </w:rPr>
            </w:pPr>
            <w:r>
              <w:rPr>
                <w:rFonts w:ascii="Arial" w:hAnsi="Arial" w:cs="Arial"/>
                <w:color w:val="000000"/>
                <w:sz w:val="20"/>
                <w:szCs w:val="20"/>
              </w:rPr>
              <w:t>Alicate bico meia cana 6´ - material em aço carbono - tipo da ponta/diâmetro: bico meia cana - 6´ - corpo em aço carbono especial forjado e temperado - acabamento fosfatizado - cabeça e articulação lixadas - têmpera especial no gume de corte - isolação elétrica de 1.000v c.a. - suporte plástico</w:t>
            </w:r>
          </w:p>
        </w:tc>
        <w:tc>
          <w:tcPr>
            <w:tcW w:w="1155" w:type="dxa"/>
            <w:tcBorders>
              <w:top w:val="nil"/>
              <w:left w:val="nil"/>
              <w:bottom w:val="single" w:sz="4" w:space="0" w:color="auto"/>
              <w:right w:val="single" w:sz="4" w:space="0" w:color="auto"/>
            </w:tcBorders>
            <w:shd w:val="clear" w:color="auto" w:fill="auto"/>
            <w:vAlign w:val="center"/>
            <w:hideMark/>
          </w:tcPr>
          <w:p w14:paraId="417D3F6A"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7CF6A0EB"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1C88484A" w14:textId="77777777" w:rsidR="00AD3735" w:rsidRDefault="00AD3735">
            <w:pPr>
              <w:jc w:val="center"/>
              <w:rPr>
                <w:rFonts w:ascii="Arial" w:hAnsi="Arial" w:cs="Arial"/>
                <w:color w:val="000000"/>
                <w:sz w:val="20"/>
                <w:szCs w:val="20"/>
              </w:rPr>
            </w:pPr>
            <w:r>
              <w:rPr>
                <w:rFonts w:ascii="Arial" w:hAnsi="Arial" w:cs="Arial"/>
                <w:color w:val="000000"/>
                <w:sz w:val="20"/>
                <w:szCs w:val="20"/>
              </w:rPr>
              <w:t>5</w:t>
            </w:r>
          </w:p>
        </w:tc>
        <w:tc>
          <w:tcPr>
            <w:tcW w:w="962" w:type="dxa"/>
            <w:tcBorders>
              <w:top w:val="nil"/>
              <w:left w:val="nil"/>
              <w:bottom w:val="single" w:sz="4" w:space="0" w:color="auto"/>
              <w:right w:val="single" w:sz="4" w:space="0" w:color="auto"/>
            </w:tcBorders>
            <w:shd w:val="clear" w:color="auto" w:fill="auto"/>
            <w:noWrap/>
            <w:vAlign w:val="center"/>
            <w:hideMark/>
          </w:tcPr>
          <w:p w14:paraId="334A0E88"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38,66 </w:t>
            </w:r>
          </w:p>
        </w:tc>
        <w:tc>
          <w:tcPr>
            <w:tcW w:w="1141" w:type="dxa"/>
            <w:tcBorders>
              <w:top w:val="nil"/>
              <w:left w:val="nil"/>
              <w:bottom w:val="single" w:sz="4" w:space="0" w:color="auto"/>
              <w:right w:val="single" w:sz="4" w:space="0" w:color="auto"/>
            </w:tcBorders>
            <w:shd w:val="clear" w:color="auto" w:fill="auto"/>
            <w:noWrap/>
            <w:vAlign w:val="center"/>
            <w:hideMark/>
          </w:tcPr>
          <w:p w14:paraId="3B1C5478"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193,30 </w:t>
            </w:r>
          </w:p>
        </w:tc>
      </w:tr>
      <w:tr w:rsidR="00AD3735" w14:paraId="58675E04" w14:textId="77777777" w:rsidTr="0017033F">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E0A3A4" w14:textId="77777777" w:rsidR="00AD3735" w:rsidRDefault="00AD3735">
            <w:pPr>
              <w:jc w:val="center"/>
              <w:rPr>
                <w:rFonts w:ascii="Arial" w:hAnsi="Arial" w:cs="Arial"/>
                <w:color w:val="000000"/>
                <w:sz w:val="20"/>
                <w:szCs w:val="20"/>
              </w:rPr>
            </w:pPr>
            <w:r>
              <w:rPr>
                <w:rFonts w:ascii="Arial" w:hAnsi="Arial" w:cs="Arial"/>
                <w:color w:val="000000"/>
                <w:sz w:val="20"/>
                <w:szCs w:val="20"/>
              </w:rPr>
              <w:t>45</w:t>
            </w:r>
          </w:p>
        </w:tc>
        <w:tc>
          <w:tcPr>
            <w:tcW w:w="993" w:type="dxa"/>
            <w:tcBorders>
              <w:top w:val="nil"/>
              <w:left w:val="nil"/>
              <w:bottom w:val="single" w:sz="4" w:space="0" w:color="auto"/>
              <w:right w:val="single" w:sz="4" w:space="0" w:color="auto"/>
            </w:tcBorders>
            <w:shd w:val="clear" w:color="auto" w:fill="auto"/>
            <w:vAlign w:val="center"/>
            <w:hideMark/>
          </w:tcPr>
          <w:p w14:paraId="15F2828D"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326619</w:t>
            </w:r>
          </w:p>
        </w:tc>
        <w:tc>
          <w:tcPr>
            <w:tcW w:w="7654" w:type="dxa"/>
            <w:tcBorders>
              <w:top w:val="nil"/>
              <w:left w:val="nil"/>
              <w:bottom w:val="single" w:sz="4" w:space="0" w:color="auto"/>
              <w:right w:val="single" w:sz="4" w:space="0" w:color="auto"/>
            </w:tcBorders>
            <w:shd w:val="clear" w:color="auto" w:fill="auto"/>
            <w:vAlign w:val="center"/>
            <w:hideMark/>
          </w:tcPr>
          <w:p w14:paraId="13872900" w14:textId="77777777" w:rsidR="00AD3735" w:rsidRDefault="00AD3735">
            <w:pPr>
              <w:jc w:val="both"/>
              <w:rPr>
                <w:rFonts w:ascii="Arial" w:hAnsi="Arial" w:cs="Arial"/>
                <w:color w:val="000000"/>
                <w:sz w:val="20"/>
                <w:szCs w:val="20"/>
              </w:rPr>
            </w:pPr>
            <w:r>
              <w:rPr>
                <w:rFonts w:ascii="Arial" w:hAnsi="Arial" w:cs="Arial"/>
                <w:color w:val="000000"/>
                <w:sz w:val="20"/>
                <w:szCs w:val="20"/>
              </w:rPr>
              <w:t>Testador indutor - o localizador de cabos tem como função localizar e rastrear fios e cabos dentro de um grupo sem que a estrutura em que se encontram seja danificada. Kit localizador de cabos de rede ou telefônico- acompanha o kit no mínimo: 1 x emissor de cabo;1 x receptor de cabo; 1 x cabo rj11; 1 x cabo rj45; 1 x fone de ouvido; 1 x cabo com braçadeira; 1 x bolsa.</w:t>
            </w:r>
          </w:p>
        </w:tc>
        <w:tc>
          <w:tcPr>
            <w:tcW w:w="1155" w:type="dxa"/>
            <w:tcBorders>
              <w:top w:val="nil"/>
              <w:left w:val="nil"/>
              <w:bottom w:val="single" w:sz="4" w:space="0" w:color="auto"/>
              <w:right w:val="single" w:sz="4" w:space="0" w:color="auto"/>
            </w:tcBorders>
            <w:shd w:val="clear" w:color="auto" w:fill="auto"/>
            <w:vAlign w:val="center"/>
            <w:hideMark/>
          </w:tcPr>
          <w:p w14:paraId="433CAD4E"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09D16E0B"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42775444" w14:textId="77777777" w:rsidR="00AD3735" w:rsidRDefault="00AD3735">
            <w:pPr>
              <w:jc w:val="center"/>
              <w:rPr>
                <w:rFonts w:ascii="Arial" w:hAnsi="Arial" w:cs="Arial"/>
                <w:color w:val="000000"/>
                <w:sz w:val="20"/>
                <w:szCs w:val="20"/>
              </w:rPr>
            </w:pPr>
            <w:r>
              <w:rPr>
                <w:rFonts w:ascii="Arial" w:hAnsi="Arial" w:cs="Arial"/>
                <w:color w:val="000000"/>
                <w:sz w:val="20"/>
                <w:szCs w:val="20"/>
              </w:rPr>
              <w:t>6</w:t>
            </w:r>
          </w:p>
        </w:tc>
        <w:tc>
          <w:tcPr>
            <w:tcW w:w="962" w:type="dxa"/>
            <w:tcBorders>
              <w:top w:val="nil"/>
              <w:left w:val="nil"/>
              <w:bottom w:val="single" w:sz="4" w:space="0" w:color="auto"/>
              <w:right w:val="single" w:sz="4" w:space="0" w:color="auto"/>
            </w:tcBorders>
            <w:shd w:val="clear" w:color="auto" w:fill="auto"/>
            <w:noWrap/>
            <w:vAlign w:val="center"/>
            <w:hideMark/>
          </w:tcPr>
          <w:p w14:paraId="76E89E5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129,35 </w:t>
            </w:r>
          </w:p>
        </w:tc>
        <w:tc>
          <w:tcPr>
            <w:tcW w:w="1141" w:type="dxa"/>
            <w:tcBorders>
              <w:top w:val="nil"/>
              <w:left w:val="nil"/>
              <w:bottom w:val="single" w:sz="4" w:space="0" w:color="auto"/>
              <w:right w:val="single" w:sz="4" w:space="0" w:color="auto"/>
            </w:tcBorders>
            <w:shd w:val="clear" w:color="auto" w:fill="auto"/>
            <w:noWrap/>
            <w:vAlign w:val="center"/>
            <w:hideMark/>
          </w:tcPr>
          <w:p w14:paraId="550FC0E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776,10 </w:t>
            </w:r>
          </w:p>
        </w:tc>
      </w:tr>
      <w:tr w:rsidR="00AD3735" w14:paraId="15E3A0DD"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08E96F9" w14:textId="77777777" w:rsidR="00AD3735" w:rsidRDefault="00AD3735">
            <w:pPr>
              <w:jc w:val="center"/>
              <w:rPr>
                <w:rFonts w:ascii="Arial" w:hAnsi="Arial" w:cs="Arial"/>
                <w:color w:val="000000"/>
                <w:sz w:val="20"/>
                <w:szCs w:val="20"/>
              </w:rPr>
            </w:pPr>
            <w:r>
              <w:rPr>
                <w:rFonts w:ascii="Arial" w:hAnsi="Arial" w:cs="Arial"/>
                <w:color w:val="000000"/>
                <w:sz w:val="20"/>
                <w:szCs w:val="20"/>
              </w:rPr>
              <w:t>46</w:t>
            </w:r>
          </w:p>
        </w:tc>
        <w:tc>
          <w:tcPr>
            <w:tcW w:w="993" w:type="dxa"/>
            <w:tcBorders>
              <w:top w:val="nil"/>
              <w:left w:val="nil"/>
              <w:bottom w:val="single" w:sz="4" w:space="0" w:color="auto"/>
              <w:right w:val="single" w:sz="4" w:space="0" w:color="auto"/>
            </w:tcBorders>
            <w:shd w:val="clear" w:color="auto" w:fill="auto"/>
            <w:vAlign w:val="center"/>
            <w:hideMark/>
          </w:tcPr>
          <w:p w14:paraId="494287ED"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472099</w:t>
            </w:r>
          </w:p>
        </w:tc>
        <w:tc>
          <w:tcPr>
            <w:tcW w:w="7654" w:type="dxa"/>
            <w:tcBorders>
              <w:top w:val="nil"/>
              <w:left w:val="nil"/>
              <w:bottom w:val="single" w:sz="4" w:space="0" w:color="auto"/>
              <w:right w:val="single" w:sz="4" w:space="0" w:color="auto"/>
            </w:tcBorders>
            <w:shd w:val="clear" w:color="auto" w:fill="auto"/>
            <w:vAlign w:val="center"/>
            <w:hideMark/>
          </w:tcPr>
          <w:p w14:paraId="18657527" w14:textId="77777777" w:rsidR="00AD3735" w:rsidRDefault="00AD3735">
            <w:pPr>
              <w:jc w:val="both"/>
              <w:rPr>
                <w:rFonts w:ascii="Arial" w:hAnsi="Arial" w:cs="Arial"/>
                <w:color w:val="000000"/>
                <w:sz w:val="20"/>
                <w:szCs w:val="20"/>
              </w:rPr>
            </w:pPr>
            <w:r>
              <w:rPr>
                <w:rFonts w:ascii="Arial" w:hAnsi="Arial" w:cs="Arial"/>
                <w:color w:val="000000"/>
                <w:sz w:val="20"/>
                <w:szCs w:val="20"/>
              </w:rPr>
              <w:t>Alicate push down de inserção (profissional) cat5 5 com regulador de pressão / dispositivo de corte do fio automaticamente mod, compatível com rj11 e rj45 .</w:t>
            </w:r>
          </w:p>
        </w:tc>
        <w:tc>
          <w:tcPr>
            <w:tcW w:w="1155" w:type="dxa"/>
            <w:tcBorders>
              <w:top w:val="nil"/>
              <w:left w:val="nil"/>
              <w:bottom w:val="single" w:sz="4" w:space="0" w:color="auto"/>
              <w:right w:val="single" w:sz="4" w:space="0" w:color="auto"/>
            </w:tcBorders>
            <w:shd w:val="clear" w:color="auto" w:fill="auto"/>
            <w:vAlign w:val="center"/>
            <w:hideMark/>
          </w:tcPr>
          <w:p w14:paraId="074C1BC8"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0DD28D7E"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618AD956" w14:textId="77777777" w:rsidR="00AD3735" w:rsidRDefault="00AD3735">
            <w:pPr>
              <w:jc w:val="center"/>
              <w:rPr>
                <w:rFonts w:ascii="Arial" w:hAnsi="Arial" w:cs="Arial"/>
                <w:color w:val="000000"/>
                <w:sz w:val="20"/>
                <w:szCs w:val="20"/>
              </w:rPr>
            </w:pPr>
            <w:r>
              <w:rPr>
                <w:rFonts w:ascii="Arial" w:hAnsi="Arial" w:cs="Arial"/>
                <w:color w:val="000000"/>
                <w:sz w:val="20"/>
                <w:szCs w:val="20"/>
              </w:rPr>
              <w:t>6</w:t>
            </w:r>
          </w:p>
        </w:tc>
        <w:tc>
          <w:tcPr>
            <w:tcW w:w="962" w:type="dxa"/>
            <w:tcBorders>
              <w:top w:val="nil"/>
              <w:left w:val="nil"/>
              <w:bottom w:val="single" w:sz="4" w:space="0" w:color="auto"/>
              <w:right w:val="single" w:sz="4" w:space="0" w:color="auto"/>
            </w:tcBorders>
            <w:shd w:val="clear" w:color="auto" w:fill="auto"/>
            <w:noWrap/>
            <w:vAlign w:val="center"/>
            <w:hideMark/>
          </w:tcPr>
          <w:p w14:paraId="26C0ABC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53,47 </w:t>
            </w:r>
          </w:p>
        </w:tc>
        <w:tc>
          <w:tcPr>
            <w:tcW w:w="1141" w:type="dxa"/>
            <w:tcBorders>
              <w:top w:val="nil"/>
              <w:left w:val="nil"/>
              <w:bottom w:val="single" w:sz="4" w:space="0" w:color="auto"/>
              <w:right w:val="single" w:sz="4" w:space="0" w:color="auto"/>
            </w:tcBorders>
            <w:shd w:val="clear" w:color="auto" w:fill="auto"/>
            <w:noWrap/>
            <w:vAlign w:val="center"/>
            <w:hideMark/>
          </w:tcPr>
          <w:p w14:paraId="488AF4F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320,82 </w:t>
            </w:r>
          </w:p>
        </w:tc>
      </w:tr>
      <w:tr w:rsidR="00AD3735" w14:paraId="2A109D4E"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9EF38F" w14:textId="77777777" w:rsidR="00AD3735" w:rsidRDefault="00AD3735">
            <w:pPr>
              <w:jc w:val="center"/>
              <w:rPr>
                <w:rFonts w:ascii="Arial" w:hAnsi="Arial" w:cs="Arial"/>
                <w:color w:val="000000"/>
                <w:sz w:val="20"/>
                <w:szCs w:val="20"/>
              </w:rPr>
            </w:pPr>
            <w:r>
              <w:rPr>
                <w:rFonts w:ascii="Arial" w:hAnsi="Arial" w:cs="Arial"/>
                <w:color w:val="000000"/>
                <w:sz w:val="20"/>
                <w:szCs w:val="20"/>
              </w:rPr>
              <w:lastRenderedPageBreak/>
              <w:t>47</w:t>
            </w:r>
          </w:p>
        </w:tc>
        <w:tc>
          <w:tcPr>
            <w:tcW w:w="993" w:type="dxa"/>
            <w:tcBorders>
              <w:top w:val="nil"/>
              <w:left w:val="nil"/>
              <w:bottom w:val="single" w:sz="4" w:space="0" w:color="auto"/>
              <w:right w:val="single" w:sz="4" w:space="0" w:color="auto"/>
            </w:tcBorders>
            <w:shd w:val="clear" w:color="auto" w:fill="auto"/>
            <w:vAlign w:val="center"/>
            <w:hideMark/>
          </w:tcPr>
          <w:p w14:paraId="64F29468"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607971</w:t>
            </w:r>
          </w:p>
        </w:tc>
        <w:tc>
          <w:tcPr>
            <w:tcW w:w="7654" w:type="dxa"/>
            <w:tcBorders>
              <w:top w:val="nil"/>
              <w:left w:val="nil"/>
              <w:bottom w:val="single" w:sz="4" w:space="0" w:color="auto"/>
              <w:right w:val="single" w:sz="4" w:space="0" w:color="auto"/>
            </w:tcBorders>
            <w:shd w:val="clear" w:color="auto" w:fill="auto"/>
            <w:vAlign w:val="center"/>
            <w:hideMark/>
          </w:tcPr>
          <w:p w14:paraId="4934435B"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Jogo chaves phillips, material haste aço cromo vanádio, tipo ponta phillips, bitola 1/16; 1/8; 3/16 e 1/4 pol,no minímo 4 peças, facultado ao licitante oferecer conjunto com mais peças, porém deve conter as bitolas de phillips aqui presentes, </w:t>
            </w:r>
          </w:p>
        </w:tc>
        <w:tc>
          <w:tcPr>
            <w:tcW w:w="1155" w:type="dxa"/>
            <w:tcBorders>
              <w:top w:val="nil"/>
              <w:left w:val="nil"/>
              <w:bottom w:val="single" w:sz="4" w:space="0" w:color="auto"/>
              <w:right w:val="single" w:sz="4" w:space="0" w:color="auto"/>
            </w:tcBorders>
            <w:shd w:val="clear" w:color="auto" w:fill="auto"/>
            <w:vAlign w:val="center"/>
            <w:hideMark/>
          </w:tcPr>
          <w:p w14:paraId="7508D146" w14:textId="77777777" w:rsidR="00AD3735" w:rsidRDefault="00AD3735">
            <w:pPr>
              <w:jc w:val="center"/>
              <w:rPr>
                <w:rFonts w:ascii="Arial" w:hAnsi="Arial" w:cs="Arial"/>
                <w:color w:val="0A0A0A"/>
                <w:sz w:val="20"/>
                <w:szCs w:val="20"/>
              </w:rPr>
            </w:pPr>
            <w:r>
              <w:rPr>
                <w:rFonts w:ascii="Arial" w:hAnsi="Arial" w:cs="Arial"/>
                <w:color w:val="0A0A0A"/>
                <w:sz w:val="20"/>
                <w:szCs w:val="20"/>
              </w:rPr>
              <w:t>Jogo</w:t>
            </w:r>
          </w:p>
        </w:tc>
        <w:tc>
          <w:tcPr>
            <w:tcW w:w="829" w:type="dxa"/>
            <w:tcBorders>
              <w:top w:val="nil"/>
              <w:left w:val="nil"/>
              <w:bottom w:val="single" w:sz="4" w:space="0" w:color="auto"/>
              <w:right w:val="single" w:sz="4" w:space="0" w:color="auto"/>
            </w:tcBorders>
            <w:shd w:val="clear" w:color="auto" w:fill="auto"/>
            <w:vAlign w:val="center"/>
            <w:hideMark/>
          </w:tcPr>
          <w:p w14:paraId="6E5154C0"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412D405D" w14:textId="77777777" w:rsidR="00AD3735" w:rsidRDefault="00AD3735">
            <w:pPr>
              <w:jc w:val="center"/>
              <w:rPr>
                <w:rFonts w:ascii="Arial" w:hAnsi="Arial" w:cs="Arial"/>
                <w:color w:val="000000"/>
                <w:sz w:val="20"/>
                <w:szCs w:val="20"/>
              </w:rPr>
            </w:pPr>
            <w:r>
              <w:rPr>
                <w:rFonts w:ascii="Arial" w:hAnsi="Arial" w:cs="Arial"/>
                <w:color w:val="000000"/>
                <w:sz w:val="20"/>
                <w:szCs w:val="20"/>
              </w:rPr>
              <w:t>6</w:t>
            </w:r>
          </w:p>
        </w:tc>
        <w:tc>
          <w:tcPr>
            <w:tcW w:w="962" w:type="dxa"/>
            <w:tcBorders>
              <w:top w:val="nil"/>
              <w:left w:val="nil"/>
              <w:bottom w:val="single" w:sz="4" w:space="0" w:color="auto"/>
              <w:right w:val="single" w:sz="4" w:space="0" w:color="auto"/>
            </w:tcBorders>
            <w:shd w:val="clear" w:color="auto" w:fill="auto"/>
            <w:noWrap/>
            <w:vAlign w:val="center"/>
            <w:hideMark/>
          </w:tcPr>
          <w:p w14:paraId="000AF7F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70,46 </w:t>
            </w:r>
          </w:p>
        </w:tc>
        <w:tc>
          <w:tcPr>
            <w:tcW w:w="1141" w:type="dxa"/>
            <w:tcBorders>
              <w:top w:val="nil"/>
              <w:left w:val="nil"/>
              <w:bottom w:val="single" w:sz="4" w:space="0" w:color="auto"/>
              <w:right w:val="single" w:sz="4" w:space="0" w:color="auto"/>
            </w:tcBorders>
            <w:shd w:val="clear" w:color="auto" w:fill="auto"/>
            <w:noWrap/>
            <w:vAlign w:val="center"/>
            <w:hideMark/>
          </w:tcPr>
          <w:p w14:paraId="3FD6AF5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422,76 </w:t>
            </w:r>
          </w:p>
        </w:tc>
      </w:tr>
      <w:tr w:rsidR="00AD3735" w14:paraId="49398B6B"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A6F8982" w14:textId="77777777" w:rsidR="00AD3735" w:rsidRDefault="00AD3735">
            <w:pPr>
              <w:jc w:val="center"/>
              <w:rPr>
                <w:rFonts w:ascii="Arial" w:hAnsi="Arial" w:cs="Arial"/>
                <w:color w:val="000000"/>
                <w:sz w:val="20"/>
                <w:szCs w:val="20"/>
              </w:rPr>
            </w:pPr>
            <w:r>
              <w:rPr>
                <w:rFonts w:ascii="Arial" w:hAnsi="Arial" w:cs="Arial"/>
                <w:color w:val="000000"/>
                <w:sz w:val="20"/>
                <w:szCs w:val="20"/>
              </w:rPr>
              <w:t>48</w:t>
            </w:r>
          </w:p>
        </w:tc>
        <w:tc>
          <w:tcPr>
            <w:tcW w:w="993" w:type="dxa"/>
            <w:tcBorders>
              <w:top w:val="nil"/>
              <w:left w:val="nil"/>
              <w:bottom w:val="single" w:sz="4" w:space="0" w:color="auto"/>
              <w:right w:val="single" w:sz="4" w:space="0" w:color="auto"/>
            </w:tcBorders>
            <w:shd w:val="clear" w:color="auto" w:fill="auto"/>
            <w:vAlign w:val="center"/>
            <w:hideMark/>
          </w:tcPr>
          <w:p w14:paraId="03FB27B5"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428486</w:t>
            </w:r>
          </w:p>
        </w:tc>
        <w:tc>
          <w:tcPr>
            <w:tcW w:w="7654" w:type="dxa"/>
            <w:tcBorders>
              <w:top w:val="nil"/>
              <w:left w:val="nil"/>
              <w:bottom w:val="single" w:sz="4" w:space="0" w:color="auto"/>
              <w:right w:val="single" w:sz="4" w:space="0" w:color="auto"/>
            </w:tcBorders>
            <w:shd w:val="clear" w:color="auto" w:fill="auto"/>
            <w:vAlign w:val="center"/>
            <w:hideMark/>
          </w:tcPr>
          <w:p w14:paraId="552EF84F"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Extensão elétrica 10a, no mínimo 4 tomadas 2p+t -cabo elétrico de cobre, flexível, isolado simples, anti-chama, 2x1,5 mm2, a ser de </w:t>
            </w:r>
            <w:r>
              <w:rPr>
                <w:rFonts w:ascii="Arial" w:hAnsi="Arial" w:cs="Arial"/>
                <w:b/>
                <w:bCs/>
                <w:color w:val="000000"/>
                <w:sz w:val="20"/>
                <w:szCs w:val="20"/>
              </w:rPr>
              <w:t>15 m</w:t>
            </w:r>
            <w:r>
              <w:rPr>
                <w:rFonts w:ascii="Arial" w:hAnsi="Arial" w:cs="Arial"/>
                <w:color w:val="000000"/>
                <w:sz w:val="20"/>
                <w:szCs w:val="20"/>
              </w:rPr>
              <w:t>.</w:t>
            </w:r>
          </w:p>
        </w:tc>
        <w:tc>
          <w:tcPr>
            <w:tcW w:w="1155" w:type="dxa"/>
            <w:tcBorders>
              <w:top w:val="nil"/>
              <w:left w:val="nil"/>
              <w:bottom w:val="single" w:sz="4" w:space="0" w:color="auto"/>
              <w:right w:val="single" w:sz="4" w:space="0" w:color="auto"/>
            </w:tcBorders>
            <w:shd w:val="clear" w:color="auto" w:fill="auto"/>
            <w:vAlign w:val="center"/>
            <w:hideMark/>
          </w:tcPr>
          <w:p w14:paraId="05F8D953"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36B60AD6"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00CA8ABD" w14:textId="77777777" w:rsidR="00AD3735" w:rsidRDefault="00AD3735">
            <w:pPr>
              <w:jc w:val="center"/>
              <w:rPr>
                <w:rFonts w:ascii="Arial" w:hAnsi="Arial" w:cs="Arial"/>
                <w:color w:val="000000"/>
                <w:sz w:val="20"/>
                <w:szCs w:val="20"/>
              </w:rPr>
            </w:pPr>
            <w:r>
              <w:rPr>
                <w:rFonts w:ascii="Arial" w:hAnsi="Arial" w:cs="Arial"/>
                <w:color w:val="000000"/>
                <w:sz w:val="20"/>
                <w:szCs w:val="20"/>
              </w:rPr>
              <w:t>7</w:t>
            </w:r>
          </w:p>
        </w:tc>
        <w:tc>
          <w:tcPr>
            <w:tcW w:w="962" w:type="dxa"/>
            <w:tcBorders>
              <w:top w:val="nil"/>
              <w:left w:val="nil"/>
              <w:bottom w:val="single" w:sz="4" w:space="0" w:color="auto"/>
              <w:right w:val="single" w:sz="4" w:space="0" w:color="auto"/>
            </w:tcBorders>
            <w:shd w:val="clear" w:color="auto" w:fill="auto"/>
            <w:noWrap/>
            <w:vAlign w:val="center"/>
            <w:hideMark/>
          </w:tcPr>
          <w:p w14:paraId="753923B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156,00 </w:t>
            </w:r>
          </w:p>
        </w:tc>
        <w:tc>
          <w:tcPr>
            <w:tcW w:w="1141" w:type="dxa"/>
            <w:tcBorders>
              <w:top w:val="nil"/>
              <w:left w:val="nil"/>
              <w:bottom w:val="single" w:sz="4" w:space="0" w:color="auto"/>
              <w:right w:val="single" w:sz="4" w:space="0" w:color="auto"/>
            </w:tcBorders>
            <w:shd w:val="clear" w:color="auto" w:fill="auto"/>
            <w:noWrap/>
            <w:vAlign w:val="center"/>
            <w:hideMark/>
          </w:tcPr>
          <w:p w14:paraId="2C1C000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1.092,00 </w:t>
            </w:r>
          </w:p>
        </w:tc>
      </w:tr>
      <w:tr w:rsidR="00AD3735" w14:paraId="5CF57F99"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A66C46" w14:textId="77777777" w:rsidR="00AD3735" w:rsidRDefault="00AD3735">
            <w:pPr>
              <w:jc w:val="center"/>
              <w:rPr>
                <w:rFonts w:ascii="Arial" w:hAnsi="Arial" w:cs="Arial"/>
                <w:color w:val="000000"/>
                <w:sz w:val="20"/>
                <w:szCs w:val="20"/>
              </w:rPr>
            </w:pPr>
            <w:r>
              <w:rPr>
                <w:rFonts w:ascii="Arial" w:hAnsi="Arial" w:cs="Arial"/>
                <w:color w:val="000000"/>
                <w:sz w:val="20"/>
                <w:szCs w:val="20"/>
              </w:rPr>
              <w:t>49</w:t>
            </w:r>
          </w:p>
        </w:tc>
        <w:tc>
          <w:tcPr>
            <w:tcW w:w="993" w:type="dxa"/>
            <w:tcBorders>
              <w:top w:val="nil"/>
              <w:left w:val="nil"/>
              <w:bottom w:val="single" w:sz="4" w:space="0" w:color="auto"/>
              <w:right w:val="single" w:sz="4" w:space="0" w:color="auto"/>
            </w:tcBorders>
            <w:shd w:val="clear" w:color="auto" w:fill="auto"/>
            <w:vAlign w:val="center"/>
            <w:hideMark/>
          </w:tcPr>
          <w:p w14:paraId="6E94A28D"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407480</w:t>
            </w:r>
          </w:p>
        </w:tc>
        <w:tc>
          <w:tcPr>
            <w:tcW w:w="7654" w:type="dxa"/>
            <w:tcBorders>
              <w:top w:val="nil"/>
              <w:left w:val="nil"/>
              <w:bottom w:val="single" w:sz="4" w:space="0" w:color="auto"/>
              <w:right w:val="single" w:sz="4" w:space="0" w:color="auto"/>
            </w:tcBorders>
            <w:shd w:val="clear" w:color="auto" w:fill="auto"/>
            <w:vAlign w:val="center"/>
            <w:hideMark/>
          </w:tcPr>
          <w:p w14:paraId="572CF55B"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Extensão elétrica 10a, no mínimo 4 tomadas 2p+t -cabo elétrico de cobre, flexível, isolado simples, anti-chama, 2x1,5 mm2, a ser de </w:t>
            </w:r>
            <w:r>
              <w:rPr>
                <w:rFonts w:ascii="Arial" w:hAnsi="Arial" w:cs="Arial"/>
                <w:b/>
                <w:bCs/>
                <w:color w:val="000000"/>
                <w:sz w:val="20"/>
                <w:szCs w:val="20"/>
              </w:rPr>
              <w:t>10 m.</w:t>
            </w:r>
          </w:p>
        </w:tc>
        <w:tc>
          <w:tcPr>
            <w:tcW w:w="1155" w:type="dxa"/>
            <w:tcBorders>
              <w:top w:val="nil"/>
              <w:left w:val="nil"/>
              <w:bottom w:val="single" w:sz="4" w:space="0" w:color="auto"/>
              <w:right w:val="single" w:sz="4" w:space="0" w:color="auto"/>
            </w:tcBorders>
            <w:shd w:val="clear" w:color="auto" w:fill="auto"/>
            <w:vAlign w:val="center"/>
            <w:hideMark/>
          </w:tcPr>
          <w:p w14:paraId="72CD80E4"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0D6AD0E"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56B9C03C" w14:textId="77777777" w:rsidR="00AD3735" w:rsidRDefault="00AD3735">
            <w:pPr>
              <w:jc w:val="center"/>
              <w:rPr>
                <w:rFonts w:ascii="Arial" w:hAnsi="Arial" w:cs="Arial"/>
                <w:color w:val="000000"/>
                <w:sz w:val="20"/>
                <w:szCs w:val="20"/>
              </w:rPr>
            </w:pPr>
            <w:r>
              <w:rPr>
                <w:rFonts w:ascii="Arial" w:hAnsi="Arial" w:cs="Arial"/>
                <w:color w:val="000000"/>
                <w:sz w:val="20"/>
                <w:szCs w:val="20"/>
              </w:rPr>
              <w:t>7</w:t>
            </w:r>
          </w:p>
        </w:tc>
        <w:tc>
          <w:tcPr>
            <w:tcW w:w="962" w:type="dxa"/>
            <w:tcBorders>
              <w:top w:val="nil"/>
              <w:left w:val="nil"/>
              <w:bottom w:val="single" w:sz="4" w:space="0" w:color="auto"/>
              <w:right w:val="single" w:sz="4" w:space="0" w:color="auto"/>
            </w:tcBorders>
            <w:shd w:val="clear" w:color="auto" w:fill="auto"/>
            <w:noWrap/>
            <w:vAlign w:val="center"/>
            <w:hideMark/>
          </w:tcPr>
          <w:p w14:paraId="2F10A8F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101,67 </w:t>
            </w:r>
          </w:p>
        </w:tc>
        <w:tc>
          <w:tcPr>
            <w:tcW w:w="1141" w:type="dxa"/>
            <w:tcBorders>
              <w:top w:val="nil"/>
              <w:left w:val="nil"/>
              <w:bottom w:val="single" w:sz="4" w:space="0" w:color="auto"/>
              <w:right w:val="single" w:sz="4" w:space="0" w:color="auto"/>
            </w:tcBorders>
            <w:shd w:val="clear" w:color="auto" w:fill="auto"/>
            <w:noWrap/>
            <w:vAlign w:val="center"/>
            <w:hideMark/>
          </w:tcPr>
          <w:p w14:paraId="2D2E1C0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711,69 </w:t>
            </w:r>
          </w:p>
        </w:tc>
      </w:tr>
      <w:tr w:rsidR="00AD3735" w14:paraId="1D81612A"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12CE89F" w14:textId="77777777" w:rsidR="00AD3735" w:rsidRDefault="00AD3735">
            <w:pPr>
              <w:jc w:val="center"/>
              <w:rPr>
                <w:rFonts w:ascii="Arial" w:hAnsi="Arial" w:cs="Arial"/>
                <w:color w:val="000000"/>
                <w:sz w:val="20"/>
                <w:szCs w:val="20"/>
              </w:rPr>
            </w:pPr>
            <w:r>
              <w:rPr>
                <w:rFonts w:ascii="Arial" w:hAnsi="Arial" w:cs="Arial"/>
                <w:color w:val="000000"/>
                <w:sz w:val="20"/>
                <w:szCs w:val="20"/>
              </w:rPr>
              <w:t>50</w:t>
            </w:r>
          </w:p>
        </w:tc>
        <w:tc>
          <w:tcPr>
            <w:tcW w:w="993" w:type="dxa"/>
            <w:tcBorders>
              <w:top w:val="nil"/>
              <w:left w:val="nil"/>
              <w:bottom w:val="single" w:sz="4" w:space="0" w:color="auto"/>
              <w:right w:val="single" w:sz="4" w:space="0" w:color="auto"/>
            </w:tcBorders>
            <w:shd w:val="clear" w:color="auto" w:fill="auto"/>
            <w:vAlign w:val="center"/>
            <w:hideMark/>
          </w:tcPr>
          <w:p w14:paraId="42E5060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345983</w:t>
            </w:r>
          </w:p>
        </w:tc>
        <w:tc>
          <w:tcPr>
            <w:tcW w:w="7654" w:type="dxa"/>
            <w:tcBorders>
              <w:top w:val="nil"/>
              <w:left w:val="nil"/>
              <w:bottom w:val="single" w:sz="4" w:space="0" w:color="auto"/>
              <w:right w:val="single" w:sz="4" w:space="0" w:color="auto"/>
            </w:tcBorders>
            <w:shd w:val="clear" w:color="auto" w:fill="auto"/>
            <w:vAlign w:val="center"/>
            <w:hideMark/>
          </w:tcPr>
          <w:p w14:paraId="67246A4B"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Extensão elétrica 10a, no mínimo 3 tomadas 2p+t -cabo elétrico de cobre, flexível, isolado simples, anti-chama, 2x1,5 mm2, a ser de </w:t>
            </w:r>
            <w:r>
              <w:rPr>
                <w:rFonts w:ascii="Arial" w:hAnsi="Arial" w:cs="Arial"/>
                <w:b/>
                <w:bCs/>
                <w:color w:val="000000"/>
                <w:sz w:val="20"/>
                <w:szCs w:val="20"/>
              </w:rPr>
              <w:t>5 m</w:t>
            </w:r>
            <w:r>
              <w:rPr>
                <w:rFonts w:ascii="Arial" w:hAnsi="Arial" w:cs="Arial"/>
                <w:color w:val="000000"/>
                <w:sz w:val="20"/>
                <w:szCs w:val="20"/>
              </w:rPr>
              <w:t>.</w:t>
            </w:r>
          </w:p>
        </w:tc>
        <w:tc>
          <w:tcPr>
            <w:tcW w:w="1155" w:type="dxa"/>
            <w:tcBorders>
              <w:top w:val="nil"/>
              <w:left w:val="nil"/>
              <w:bottom w:val="single" w:sz="4" w:space="0" w:color="auto"/>
              <w:right w:val="single" w:sz="4" w:space="0" w:color="auto"/>
            </w:tcBorders>
            <w:shd w:val="clear" w:color="auto" w:fill="auto"/>
            <w:vAlign w:val="center"/>
            <w:hideMark/>
          </w:tcPr>
          <w:p w14:paraId="7B0EAAD7"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7CBCF403"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77EA054E" w14:textId="77777777" w:rsidR="00AD3735" w:rsidRDefault="00AD3735">
            <w:pPr>
              <w:jc w:val="center"/>
              <w:rPr>
                <w:rFonts w:ascii="Arial" w:hAnsi="Arial" w:cs="Arial"/>
                <w:color w:val="000000"/>
                <w:sz w:val="20"/>
                <w:szCs w:val="20"/>
              </w:rPr>
            </w:pPr>
            <w:r>
              <w:rPr>
                <w:rFonts w:ascii="Arial" w:hAnsi="Arial" w:cs="Arial"/>
                <w:color w:val="000000"/>
                <w:sz w:val="20"/>
                <w:szCs w:val="20"/>
              </w:rPr>
              <w:t>7</w:t>
            </w:r>
          </w:p>
        </w:tc>
        <w:tc>
          <w:tcPr>
            <w:tcW w:w="962" w:type="dxa"/>
            <w:tcBorders>
              <w:top w:val="nil"/>
              <w:left w:val="nil"/>
              <w:bottom w:val="single" w:sz="4" w:space="0" w:color="auto"/>
              <w:right w:val="single" w:sz="4" w:space="0" w:color="auto"/>
            </w:tcBorders>
            <w:shd w:val="clear" w:color="auto" w:fill="auto"/>
            <w:noWrap/>
            <w:vAlign w:val="center"/>
            <w:hideMark/>
          </w:tcPr>
          <w:p w14:paraId="67DA890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60,83 </w:t>
            </w:r>
          </w:p>
        </w:tc>
        <w:tc>
          <w:tcPr>
            <w:tcW w:w="1141" w:type="dxa"/>
            <w:tcBorders>
              <w:top w:val="nil"/>
              <w:left w:val="nil"/>
              <w:bottom w:val="single" w:sz="4" w:space="0" w:color="auto"/>
              <w:right w:val="single" w:sz="4" w:space="0" w:color="auto"/>
            </w:tcBorders>
            <w:shd w:val="clear" w:color="auto" w:fill="auto"/>
            <w:noWrap/>
            <w:vAlign w:val="center"/>
            <w:hideMark/>
          </w:tcPr>
          <w:p w14:paraId="45C7CFF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425,81 </w:t>
            </w:r>
          </w:p>
        </w:tc>
      </w:tr>
      <w:tr w:rsidR="00AD3735" w14:paraId="7EDB011E"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795177" w14:textId="77777777" w:rsidR="00AD3735" w:rsidRDefault="00AD3735">
            <w:pPr>
              <w:jc w:val="center"/>
              <w:rPr>
                <w:rFonts w:ascii="Arial" w:hAnsi="Arial" w:cs="Arial"/>
                <w:color w:val="000000"/>
                <w:sz w:val="20"/>
                <w:szCs w:val="20"/>
              </w:rPr>
            </w:pPr>
            <w:r>
              <w:rPr>
                <w:rFonts w:ascii="Arial" w:hAnsi="Arial" w:cs="Arial"/>
                <w:color w:val="000000"/>
                <w:sz w:val="20"/>
                <w:szCs w:val="20"/>
              </w:rPr>
              <w:t>51</w:t>
            </w:r>
          </w:p>
        </w:tc>
        <w:tc>
          <w:tcPr>
            <w:tcW w:w="993" w:type="dxa"/>
            <w:tcBorders>
              <w:top w:val="nil"/>
              <w:left w:val="nil"/>
              <w:bottom w:val="single" w:sz="4" w:space="0" w:color="auto"/>
              <w:right w:val="single" w:sz="4" w:space="0" w:color="auto"/>
            </w:tcBorders>
            <w:shd w:val="clear" w:color="auto" w:fill="auto"/>
            <w:vAlign w:val="center"/>
            <w:hideMark/>
          </w:tcPr>
          <w:p w14:paraId="54370777"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434855</w:t>
            </w:r>
          </w:p>
        </w:tc>
        <w:tc>
          <w:tcPr>
            <w:tcW w:w="7654" w:type="dxa"/>
            <w:tcBorders>
              <w:top w:val="nil"/>
              <w:left w:val="nil"/>
              <w:bottom w:val="single" w:sz="4" w:space="0" w:color="auto"/>
              <w:right w:val="single" w:sz="4" w:space="0" w:color="auto"/>
            </w:tcBorders>
            <w:shd w:val="clear" w:color="auto" w:fill="auto"/>
            <w:vAlign w:val="center"/>
            <w:hideMark/>
          </w:tcPr>
          <w:p w14:paraId="5E2633C6" w14:textId="77777777" w:rsidR="00AD3735" w:rsidRDefault="00AD3735">
            <w:pPr>
              <w:jc w:val="both"/>
              <w:rPr>
                <w:rFonts w:ascii="Arial" w:hAnsi="Arial" w:cs="Arial"/>
                <w:color w:val="000000"/>
                <w:sz w:val="20"/>
                <w:szCs w:val="20"/>
              </w:rPr>
            </w:pPr>
            <w:r>
              <w:rPr>
                <w:rFonts w:ascii="Arial" w:hAnsi="Arial" w:cs="Arial"/>
                <w:color w:val="000000"/>
                <w:sz w:val="20"/>
                <w:szCs w:val="20"/>
              </w:rPr>
              <w:t>Régua elétrica para servidor, material chapa de aço sae 1010/1020, quantidade tomadas saída, no mínimo, 8 (2p+t), tensão alimentação 110/220 v, corrente nominal 10 a</w:t>
            </w:r>
          </w:p>
        </w:tc>
        <w:tc>
          <w:tcPr>
            <w:tcW w:w="1155" w:type="dxa"/>
            <w:tcBorders>
              <w:top w:val="nil"/>
              <w:left w:val="nil"/>
              <w:bottom w:val="single" w:sz="4" w:space="0" w:color="auto"/>
              <w:right w:val="single" w:sz="4" w:space="0" w:color="auto"/>
            </w:tcBorders>
            <w:shd w:val="clear" w:color="auto" w:fill="auto"/>
            <w:vAlign w:val="center"/>
            <w:hideMark/>
          </w:tcPr>
          <w:p w14:paraId="7A9D2112"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790AB030"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2A161CFF" w14:textId="77777777" w:rsidR="00AD3735" w:rsidRDefault="00AD3735">
            <w:pPr>
              <w:jc w:val="center"/>
              <w:rPr>
                <w:rFonts w:ascii="Arial" w:hAnsi="Arial" w:cs="Arial"/>
                <w:color w:val="000000"/>
                <w:sz w:val="20"/>
                <w:szCs w:val="20"/>
              </w:rPr>
            </w:pPr>
            <w:r>
              <w:rPr>
                <w:rFonts w:ascii="Arial" w:hAnsi="Arial" w:cs="Arial"/>
                <w:color w:val="000000"/>
                <w:sz w:val="20"/>
                <w:szCs w:val="20"/>
              </w:rPr>
              <w:t>5</w:t>
            </w:r>
          </w:p>
        </w:tc>
        <w:tc>
          <w:tcPr>
            <w:tcW w:w="962" w:type="dxa"/>
            <w:tcBorders>
              <w:top w:val="nil"/>
              <w:left w:val="nil"/>
              <w:bottom w:val="single" w:sz="4" w:space="0" w:color="auto"/>
              <w:right w:val="single" w:sz="4" w:space="0" w:color="auto"/>
            </w:tcBorders>
            <w:shd w:val="clear" w:color="auto" w:fill="auto"/>
            <w:noWrap/>
            <w:vAlign w:val="center"/>
            <w:hideMark/>
          </w:tcPr>
          <w:p w14:paraId="2D632A58"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118,38 </w:t>
            </w:r>
          </w:p>
        </w:tc>
        <w:tc>
          <w:tcPr>
            <w:tcW w:w="1141" w:type="dxa"/>
            <w:tcBorders>
              <w:top w:val="nil"/>
              <w:left w:val="nil"/>
              <w:bottom w:val="single" w:sz="4" w:space="0" w:color="auto"/>
              <w:right w:val="single" w:sz="4" w:space="0" w:color="auto"/>
            </w:tcBorders>
            <w:shd w:val="clear" w:color="auto" w:fill="auto"/>
            <w:noWrap/>
            <w:vAlign w:val="center"/>
            <w:hideMark/>
          </w:tcPr>
          <w:p w14:paraId="505C454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591,90 </w:t>
            </w:r>
          </w:p>
        </w:tc>
      </w:tr>
      <w:tr w:rsidR="00AD3735" w14:paraId="2E07FA0D" w14:textId="77777777" w:rsidTr="0017033F">
        <w:trPr>
          <w:trHeight w:val="76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2C6E8EA" w14:textId="77777777" w:rsidR="00AD3735" w:rsidRDefault="00AD3735">
            <w:pPr>
              <w:jc w:val="center"/>
              <w:rPr>
                <w:rFonts w:ascii="Arial" w:hAnsi="Arial" w:cs="Arial"/>
                <w:color w:val="000000"/>
                <w:sz w:val="20"/>
                <w:szCs w:val="20"/>
              </w:rPr>
            </w:pPr>
            <w:r>
              <w:rPr>
                <w:rFonts w:ascii="Arial" w:hAnsi="Arial" w:cs="Arial"/>
                <w:color w:val="000000"/>
                <w:sz w:val="20"/>
                <w:szCs w:val="20"/>
              </w:rPr>
              <w:t>52</w:t>
            </w:r>
          </w:p>
        </w:tc>
        <w:tc>
          <w:tcPr>
            <w:tcW w:w="993" w:type="dxa"/>
            <w:tcBorders>
              <w:top w:val="nil"/>
              <w:left w:val="nil"/>
              <w:bottom w:val="single" w:sz="4" w:space="0" w:color="auto"/>
              <w:right w:val="single" w:sz="4" w:space="0" w:color="auto"/>
            </w:tcBorders>
            <w:shd w:val="clear" w:color="auto" w:fill="auto"/>
            <w:vAlign w:val="center"/>
            <w:hideMark/>
          </w:tcPr>
          <w:p w14:paraId="13E22D28"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359854</w:t>
            </w:r>
          </w:p>
        </w:tc>
        <w:tc>
          <w:tcPr>
            <w:tcW w:w="7654" w:type="dxa"/>
            <w:tcBorders>
              <w:top w:val="nil"/>
              <w:left w:val="nil"/>
              <w:bottom w:val="single" w:sz="4" w:space="0" w:color="auto"/>
              <w:right w:val="single" w:sz="4" w:space="0" w:color="auto"/>
            </w:tcBorders>
            <w:shd w:val="clear" w:color="auto" w:fill="auto"/>
            <w:vAlign w:val="center"/>
            <w:hideMark/>
          </w:tcPr>
          <w:p w14:paraId="66EB0A55" w14:textId="77777777" w:rsidR="00AD3735" w:rsidRDefault="00AD3735">
            <w:pPr>
              <w:jc w:val="both"/>
              <w:rPr>
                <w:rFonts w:ascii="Arial" w:hAnsi="Arial" w:cs="Arial"/>
                <w:color w:val="000000"/>
                <w:sz w:val="20"/>
                <w:szCs w:val="20"/>
              </w:rPr>
            </w:pPr>
            <w:r>
              <w:rPr>
                <w:rFonts w:ascii="Arial" w:hAnsi="Arial" w:cs="Arial"/>
                <w:color w:val="000000"/>
                <w:sz w:val="20"/>
                <w:szCs w:val="20"/>
              </w:rPr>
              <w:t>Cabo de força - cabo de força tripolar novo padrão brasileiro de 3 pinos- rede: 110 e 220 volts (certificado até 250 volts)- tamanho:</w:t>
            </w:r>
            <w:r>
              <w:rPr>
                <w:rFonts w:ascii="Arial" w:hAnsi="Arial" w:cs="Arial"/>
                <w:b/>
                <w:bCs/>
                <w:color w:val="000000"/>
                <w:sz w:val="20"/>
                <w:szCs w:val="20"/>
              </w:rPr>
              <w:t xml:space="preserve"> 1,2 metros</w:t>
            </w:r>
            <w:r>
              <w:rPr>
                <w:rFonts w:ascii="Arial" w:hAnsi="Arial" w:cs="Arial"/>
                <w:color w:val="000000"/>
                <w:sz w:val="20"/>
                <w:szCs w:val="20"/>
              </w:rPr>
              <w:t>, tipo atx, para ligação de computadores e monitores</w:t>
            </w:r>
          </w:p>
        </w:tc>
        <w:tc>
          <w:tcPr>
            <w:tcW w:w="1155" w:type="dxa"/>
            <w:tcBorders>
              <w:top w:val="nil"/>
              <w:left w:val="nil"/>
              <w:bottom w:val="single" w:sz="4" w:space="0" w:color="auto"/>
              <w:right w:val="single" w:sz="4" w:space="0" w:color="auto"/>
            </w:tcBorders>
            <w:shd w:val="clear" w:color="auto" w:fill="auto"/>
            <w:vAlign w:val="center"/>
            <w:hideMark/>
          </w:tcPr>
          <w:p w14:paraId="61F83E90"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0B84F26F"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065530D1" w14:textId="77777777" w:rsidR="00AD3735" w:rsidRDefault="00AD3735">
            <w:pPr>
              <w:jc w:val="center"/>
              <w:rPr>
                <w:rFonts w:ascii="Arial" w:hAnsi="Arial" w:cs="Arial"/>
                <w:color w:val="000000"/>
                <w:sz w:val="20"/>
                <w:szCs w:val="20"/>
              </w:rPr>
            </w:pPr>
            <w:r>
              <w:rPr>
                <w:rFonts w:ascii="Arial" w:hAnsi="Arial" w:cs="Arial"/>
                <w:color w:val="000000"/>
                <w:sz w:val="20"/>
                <w:szCs w:val="20"/>
              </w:rPr>
              <w:t>60</w:t>
            </w:r>
          </w:p>
        </w:tc>
        <w:tc>
          <w:tcPr>
            <w:tcW w:w="962" w:type="dxa"/>
            <w:tcBorders>
              <w:top w:val="nil"/>
              <w:left w:val="nil"/>
              <w:bottom w:val="single" w:sz="4" w:space="0" w:color="auto"/>
              <w:right w:val="single" w:sz="4" w:space="0" w:color="auto"/>
            </w:tcBorders>
            <w:shd w:val="clear" w:color="auto" w:fill="auto"/>
            <w:noWrap/>
            <w:vAlign w:val="center"/>
            <w:hideMark/>
          </w:tcPr>
          <w:p w14:paraId="0D3E870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13,85 </w:t>
            </w:r>
          </w:p>
        </w:tc>
        <w:tc>
          <w:tcPr>
            <w:tcW w:w="1141" w:type="dxa"/>
            <w:tcBorders>
              <w:top w:val="nil"/>
              <w:left w:val="nil"/>
              <w:bottom w:val="single" w:sz="4" w:space="0" w:color="auto"/>
              <w:right w:val="single" w:sz="4" w:space="0" w:color="auto"/>
            </w:tcBorders>
            <w:shd w:val="clear" w:color="auto" w:fill="auto"/>
            <w:noWrap/>
            <w:vAlign w:val="center"/>
            <w:hideMark/>
          </w:tcPr>
          <w:p w14:paraId="32CE43B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831,00 </w:t>
            </w:r>
          </w:p>
        </w:tc>
      </w:tr>
      <w:tr w:rsidR="00AD3735" w14:paraId="6286A212" w14:textId="77777777" w:rsidTr="0017033F">
        <w:trPr>
          <w:trHeight w:val="15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3109E44" w14:textId="77777777" w:rsidR="00AD3735" w:rsidRDefault="00AD3735">
            <w:pPr>
              <w:jc w:val="center"/>
              <w:rPr>
                <w:rFonts w:ascii="Arial" w:hAnsi="Arial" w:cs="Arial"/>
                <w:color w:val="000000"/>
                <w:sz w:val="20"/>
                <w:szCs w:val="20"/>
              </w:rPr>
            </w:pPr>
            <w:r>
              <w:rPr>
                <w:rFonts w:ascii="Arial" w:hAnsi="Arial" w:cs="Arial"/>
                <w:color w:val="000000"/>
                <w:sz w:val="20"/>
                <w:szCs w:val="20"/>
              </w:rPr>
              <w:t>53</w:t>
            </w:r>
          </w:p>
        </w:tc>
        <w:tc>
          <w:tcPr>
            <w:tcW w:w="993" w:type="dxa"/>
            <w:tcBorders>
              <w:top w:val="nil"/>
              <w:left w:val="nil"/>
              <w:bottom w:val="single" w:sz="4" w:space="0" w:color="auto"/>
              <w:right w:val="single" w:sz="4" w:space="0" w:color="auto"/>
            </w:tcBorders>
            <w:shd w:val="clear" w:color="auto" w:fill="auto"/>
            <w:vAlign w:val="center"/>
            <w:hideMark/>
          </w:tcPr>
          <w:p w14:paraId="2F944C81"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235153</w:t>
            </w:r>
          </w:p>
        </w:tc>
        <w:tc>
          <w:tcPr>
            <w:tcW w:w="7654" w:type="dxa"/>
            <w:tcBorders>
              <w:top w:val="nil"/>
              <w:left w:val="nil"/>
              <w:bottom w:val="single" w:sz="4" w:space="0" w:color="auto"/>
              <w:right w:val="single" w:sz="4" w:space="0" w:color="auto"/>
            </w:tcBorders>
            <w:shd w:val="clear" w:color="auto" w:fill="auto"/>
            <w:vAlign w:val="center"/>
            <w:hideMark/>
          </w:tcPr>
          <w:p w14:paraId="6747B460" w14:textId="77777777" w:rsidR="00AD3735" w:rsidRDefault="00AD3735">
            <w:pPr>
              <w:jc w:val="both"/>
              <w:rPr>
                <w:rFonts w:ascii="Arial" w:hAnsi="Arial" w:cs="Arial"/>
                <w:color w:val="000000"/>
                <w:sz w:val="20"/>
                <w:szCs w:val="20"/>
              </w:rPr>
            </w:pPr>
            <w:r>
              <w:rPr>
                <w:rFonts w:ascii="Arial" w:hAnsi="Arial" w:cs="Arial"/>
                <w:color w:val="000000"/>
                <w:sz w:val="20"/>
                <w:szCs w:val="20"/>
              </w:rPr>
              <w:t xml:space="preserve">Multímetro digital, medidor de voltagem capacitância: 20n/2u/200uf. Categoria: cat ii 1000v. Corrente ac: 20m / 200m / 20a. Corrente dc: 20m/200m/20a. Display: lcd 3 1/2 dígitos / 2000 contagens. Frequência: 2k / 200khz. Iluminação própria. Mudança de faixa: manual precisão básica: 0,50% resistência: 0,2k / 2k / 20k / 200k / 2m / 200 mohms. Temperatura: 240o a + 1000 oc tensão ac: 2/20/200/750v. Tensão dc: 00mv / 2v / 20v / 200v / 1000v, </w:t>
            </w:r>
            <w:r>
              <w:rPr>
                <w:rFonts w:ascii="Arial" w:hAnsi="Arial" w:cs="Arial"/>
                <w:b/>
                <w:bCs/>
                <w:color w:val="000000"/>
                <w:sz w:val="20"/>
                <w:szCs w:val="20"/>
              </w:rPr>
              <w:t>(similar ou superior as marcas minipa / icel)</w:t>
            </w:r>
          </w:p>
        </w:tc>
        <w:tc>
          <w:tcPr>
            <w:tcW w:w="1155" w:type="dxa"/>
            <w:tcBorders>
              <w:top w:val="nil"/>
              <w:left w:val="nil"/>
              <w:bottom w:val="single" w:sz="4" w:space="0" w:color="auto"/>
              <w:right w:val="single" w:sz="4" w:space="0" w:color="auto"/>
            </w:tcBorders>
            <w:shd w:val="clear" w:color="auto" w:fill="auto"/>
            <w:vAlign w:val="center"/>
            <w:hideMark/>
          </w:tcPr>
          <w:p w14:paraId="44DFAA9B"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3A0CD15"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5AE87120" w14:textId="77777777" w:rsidR="00AD3735" w:rsidRDefault="00AD3735">
            <w:pPr>
              <w:jc w:val="center"/>
              <w:rPr>
                <w:rFonts w:ascii="Arial" w:hAnsi="Arial" w:cs="Arial"/>
                <w:color w:val="000000"/>
                <w:sz w:val="20"/>
                <w:szCs w:val="20"/>
              </w:rPr>
            </w:pPr>
            <w:r>
              <w:rPr>
                <w:rFonts w:ascii="Arial" w:hAnsi="Arial" w:cs="Arial"/>
                <w:color w:val="000000"/>
                <w:sz w:val="20"/>
                <w:szCs w:val="20"/>
              </w:rPr>
              <w:t>6</w:t>
            </w:r>
          </w:p>
        </w:tc>
        <w:tc>
          <w:tcPr>
            <w:tcW w:w="962" w:type="dxa"/>
            <w:tcBorders>
              <w:top w:val="nil"/>
              <w:left w:val="nil"/>
              <w:bottom w:val="single" w:sz="4" w:space="0" w:color="auto"/>
              <w:right w:val="single" w:sz="4" w:space="0" w:color="auto"/>
            </w:tcBorders>
            <w:shd w:val="clear" w:color="auto" w:fill="auto"/>
            <w:noWrap/>
            <w:vAlign w:val="center"/>
            <w:hideMark/>
          </w:tcPr>
          <w:p w14:paraId="2248B1F1"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503,90 </w:t>
            </w:r>
          </w:p>
        </w:tc>
        <w:tc>
          <w:tcPr>
            <w:tcW w:w="1141" w:type="dxa"/>
            <w:tcBorders>
              <w:top w:val="nil"/>
              <w:left w:val="nil"/>
              <w:bottom w:val="single" w:sz="4" w:space="0" w:color="auto"/>
              <w:right w:val="single" w:sz="4" w:space="0" w:color="auto"/>
            </w:tcBorders>
            <w:shd w:val="clear" w:color="auto" w:fill="auto"/>
            <w:noWrap/>
            <w:vAlign w:val="center"/>
            <w:hideMark/>
          </w:tcPr>
          <w:p w14:paraId="59DF31CE"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3.023,40 </w:t>
            </w:r>
          </w:p>
        </w:tc>
      </w:tr>
      <w:tr w:rsidR="00AD3735" w14:paraId="44C30A54"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047E81" w14:textId="77777777" w:rsidR="00AD3735" w:rsidRDefault="00AD3735">
            <w:pPr>
              <w:jc w:val="center"/>
              <w:rPr>
                <w:rFonts w:ascii="Arial" w:hAnsi="Arial" w:cs="Arial"/>
                <w:color w:val="000000"/>
                <w:sz w:val="20"/>
                <w:szCs w:val="20"/>
              </w:rPr>
            </w:pPr>
            <w:r>
              <w:rPr>
                <w:rFonts w:ascii="Arial" w:hAnsi="Arial" w:cs="Arial"/>
                <w:color w:val="000000"/>
                <w:sz w:val="20"/>
                <w:szCs w:val="20"/>
              </w:rPr>
              <w:t>54</w:t>
            </w:r>
          </w:p>
        </w:tc>
        <w:tc>
          <w:tcPr>
            <w:tcW w:w="993" w:type="dxa"/>
            <w:tcBorders>
              <w:top w:val="nil"/>
              <w:left w:val="nil"/>
              <w:bottom w:val="single" w:sz="4" w:space="0" w:color="auto"/>
              <w:right w:val="single" w:sz="4" w:space="0" w:color="auto"/>
            </w:tcBorders>
            <w:shd w:val="clear" w:color="auto" w:fill="auto"/>
            <w:vAlign w:val="center"/>
            <w:hideMark/>
          </w:tcPr>
          <w:p w14:paraId="6175FF44"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615126</w:t>
            </w:r>
          </w:p>
        </w:tc>
        <w:tc>
          <w:tcPr>
            <w:tcW w:w="7654" w:type="dxa"/>
            <w:tcBorders>
              <w:top w:val="nil"/>
              <w:left w:val="nil"/>
              <w:bottom w:val="single" w:sz="4" w:space="0" w:color="auto"/>
              <w:right w:val="single" w:sz="4" w:space="0" w:color="auto"/>
            </w:tcBorders>
            <w:shd w:val="clear" w:color="auto" w:fill="auto"/>
            <w:vAlign w:val="center"/>
            <w:hideMark/>
          </w:tcPr>
          <w:p w14:paraId="06CEBCD5" w14:textId="77777777" w:rsidR="00AD3735" w:rsidRDefault="00AD3735">
            <w:pPr>
              <w:jc w:val="both"/>
              <w:rPr>
                <w:rFonts w:ascii="Arial" w:hAnsi="Arial" w:cs="Arial"/>
                <w:color w:val="000000"/>
                <w:sz w:val="20"/>
                <w:szCs w:val="20"/>
              </w:rPr>
            </w:pPr>
            <w:r>
              <w:rPr>
                <w:rFonts w:ascii="Arial" w:hAnsi="Arial" w:cs="Arial"/>
                <w:color w:val="000000"/>
                <w:sz w:val="20"/>
                <w:szCs w:val="20"/>
              </w:rPr>
              <w:t>Lacre segurança, material metal, comprimento 300 mm, numerado sequencialmente, cor amarela</w:t>
            </w:r>
          </w:p>
        </w:tc>
        <w:tc>
          <w:tcPr>
            <w:tcW w:w="1155" w:type="dxa"/>
            <w:tcBorders>
              <w:top w:val="nil"/>
              <w:left w:val="nil"/>
              <w:bottom w:val="single" w:sz="4" w:space="0" w:color="auto"/>
              <w:right w:val="single" w:sz="4" w:space="0" w:color="auto"/>
            </w:tcBorders>
            <w:shd w:val="clear" w:color="auto" w:fill="auto"/>
            <w:vAlign w:val="center"/>
            <w:hideMark/>
          </w:tcPr>
          <w:p w14:paraId="442EE4C9"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60BCFB4" w14:textId="77777777" w:rsidR="00AD3735" w:rsidRDefault="00AD3735">
            <w:pPr>
              <w:jc w:val="center"/>
              <w:rPr>
                <w:rFonts w:ascii="Arial" w:hAnsi="Arial" w:cs="Arial"/>
                <w:color w:val="0A0A0A"/>
                <w:sz w:val="20"/>
                <w:szCs w:val="20"/>
              </w:rPr>
            </w:pPr>
            <w:r>
              <w:rPr>
                <w:rFonts w:ascii="Arial" w:hAnsi="Arial" w:cs="Arial"/>
                <w:color w:val="0A0A0A"/>
                <w:sz w:val="20"/>
                <w:szCs w:val="20"/>
              </w:rPr>
              <w:t>100</w:t>
            </w:r>
          </w:p>
        </w:tc>
        <w:tc>
          <w:tcPr>
            <w:tcW w:w="696" w:type="dxa"/>
            <w:tcBorders>
              <w:top w:val="nil"/>
              <w:left w:val="nil"/>
              <w:bottom w:val="single" w:sz="4" w:space="0" w:color="auto"/>
              <w:right w:val="single" w:sz="4" w:space="0" w:color="auto"/>
            </w:tcBorders>
            <w:shd w:val="clear" w:color="auto" w:fill="auto"/>
            <w:vAlign w:val="center"/>
            <w:hideMark/>
          </w:tcPr>
          <w:p w14:paraId="1E2C20AF" w14:textId="77777777" w:rsidR="00AD3735" w:rsidRDefault="00AD3735">
            <w:pPr>
              <w:jc w:val="center"/>
              <w:rPr>
                <w:rFonts w:ascii="Arial" w:hAnsi="Arial" w:cs="Arial"/>
                <w:color w:val="000000"/>
                <w:sz w:val="20"/>
                <w:szCs w:val="20"/>
              </w:rPr>
            </w:pPr>
            <w:r>
              <w:rPr>
                <w:rFonts w:ascii="Arial" w:hAnsi="Arial" w:cs="Arial"/>
                <w:color w:val="000000"/>
                <w:sz w:val="20"/>
                <w:szCs w:val="20"/>
              </w:rPr>
              <w:t>500</w:t>
            </w:r>
          </w:p>
        </w:tc>
        <w:tc>
          <w:tcPr>
            <w:tcW w:w="962" w:type="dxa"/>
            <w:tcBorders>
              <w:top w:val="nil"/>
              <w:left w:val="nil"/>
              <w:bottom w:val="single" w:sz="4" w:space="0" w:color="auto"/>
              <w:right w:val="single" w:sz="4" w:space="0" w:color="auto"/>
            </w:tcBorders>
            <w:shd w:val="clear" w:color="auto" w:fill="auto"/>
            <w:noWrap/>
            <w:vAlign w:val="center"/>
            <w:hideMark/>
          </w:tcPr>
          <w:p w14:paraId="1DEE897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1,41 </w:t>
            </w:r>
          </w:p>
        </w:tc>
        <w:tc>
          <w:tcPr>
            <w:tcW w:w="1141" w:type="dxa"/>
            <w:tcBorders>
              <w:top w:val="nil"/>
              <w:left w:val="nil"/>
              <w:bottom w:val="single" w:sz="4" w:space="0" w:color="auto"/>
              <w:right w:val="single" w:sz="4" w:space="0" w:color="auto"/>
            </w:tcBorders>
            <w:shd w:val="clear" w:color="auto" w:fill="auto"/>
            <w:noWrap/>
            <w:vAlign w:val="center"/>
            <w:hideMark/>
          </w:tcPr>
          <w:p w14:paraId="631C039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705,00 </w:t>
            </w:r>
          </w:p>
        </w:tc>
      </w:tr>
      <w:tr w:rsidR="00AD3735" w14:paraId="6461880A" w14:textId="77777777" w:rsidTr="0017033F">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9701B20" w14:textId="77777777" w:rsidR="00AD3735" w:rsidRDefault="00AD3735">
            <w:pPr>
              <w:jc w:val="center"/>
              <w:rPr>
                <w:rFonts w:ascii="Arial" w:hAnsi="Arial" w:cs="Arial"/>
                <w:color w:val="000000"/>
                <w:sz w:val="20"/>
                <w:szCs w:val="20"/>
              </w:rPr>
            </w:pPr>
            <w:r>
              <w:rPr>
                <w:rFonts w:ascii="Arial" w:hAnsi="Arial" w:cs="Arial"/>
                <w:color w:val="000000"/>
                <w:sz w:val="20"/>
                <w:szCs w:val="20"/>
              </w:rPr>
              <w:t>55</w:t>
            </w:r>
          </w:p>
        </w:tc>
        <w:tc>
          <w:tcPr>
            <w:tcW w:w="993" w:type="dxa"/>
            <w:tcBorders>
              <w:top w:val="nil"/>
              <w:left w:val="nil"/>
              <w:bottom w:val="single" w:sz="4" w:space="0" w:color="auto"/>
              <w:right w:val="single" w:sz="4" w:space="0" w:color="auto"/>
            </w:tcBorders>
            <w:shd w:val="clear" w:color="auto" w:fill="auto"/>
            <w:vAlign w:val="center"/>
            <w:hideMark/>
          </w:tcPr>
          <w:p w14:paraId="2CCD4F9A"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447274</w:t>
            </w:r>
          </w:p>
        </w:tc>
        <w:tc>
          <w:tcPr>
            <w:tcW w:w="7654" w:type="dxa"/>
            <w:tcBorders>
              <w:top w:val="nil"/>
              <w:left w:val="nil"/>
              <w:bottom w:val="single" w:sz="4" w:space="0" w:color="auto"/>
              <w:right w:val="single" w:sz="4" w:space="0" w:color="auto"/>
            </w:tcBorders>
            <w:shd w:val="clear" w:color="auto" w:fill="auto"/>
            <w:vAlign w:val="center"/>
            <w:hideMark/>
          </w:tcPr>
          <w:p w14:paraId="5B738A87" w14:textId="77777777" w:rsidR="00AD3735" w:rsidRDefault="00AD3735">
            <w:pPr>
              <w:jc w:val="both"/>
              <w:rPr>
                <w:rFonts w:ascii="Arial" w:hAnsi="Arial" w:cs="Arial"/>
                <w:color w:val="000000"/>
                <w:sz w:val="20"/>
                <w:szCs w:val="20"/>
              </w:rPr>
            </w:pPr>
            <w:r>
              <w:rPr>
                <w:rFonts w:ascii="Arial" w:hAnsi="Arial" w:cs="Arial"/>
                <w:color w:val="000000"/>
                <w:sz w:val="20"/>
                <w:szCs w:val="20"/>
              </w:rPr>
              <w:t>Rotulador, largura fita: 9 e 12 mm, visor: instruções em português 12 caracteres x 1 linha, tecnologia de conectividade wi-fi, funcionamento: eletrônico, fonte alimentação: pilha, características adicionais: portátil, tipo de fita mk631, etiquetas de plástico similar ao modelo brother pt-80.</w:t>
            </w:r>
          </w:p>
        </w:tc>
        <w:tc>
          <w:tcPr>
            <w:tcW w:w="1155" w:type="dxa"/>
            <w:tcBorders>
              <w:top w:val="nil"/>
              <w:left w:val="nil"/>
              <w:bottom w:val="single" w:sz="4" w:space="0" w:color="auto"/>
              <w:right w:val="single" w:sz="4" w:space="0" w:color="auto"/>
            </w:tcBorders>
            <w:shd w:val="clear" w:color="auto" w:fill="auto"/>
            <w:vAlign w:val="center"/>
            <w:hideMark/>
          </w:tcPr>
          <w:p w14:paraId="7A965719" w14:textId="77777777" w:rsidR="00AD3735" w:rsidRDefault="00AD3735">
            <w:pPr>
              <w:jc w:val="center"/>
              <w:rPr>
                <w:rFonts w:ascii="Arial" w:hAnsi="Arial" w:cs="Arial"/>
                <w:color w:val="0A0A0A"/>
                <w:sz w:val="20"/>
                <w:szCs w:val="20"/>
              </w:rPr>
            </w:pPr>
            <w:r>
              <w:rPr>
                <w:rFonts w:ascii="Arial" w:hAnsi="Arial" w:cs="Arial"/>
                <w:color w:val="0A0A0A"/>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74985629"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132E5B4F" w14:textId="77777777" w:rsidR="00AD3735" w:rsidRDefault="00AD3735">
            <w:pPr>
              <w:jc w:val="center"/>
              <w:rPr>
                <w:rFonts w:ascii="Arial" w:hAnsi="Arial" w:cs="Arial"/>
                <w:color w:val="000000"/>
                <w:sz w:val="20"/>
                <w:szCs w:val="20"/>
              </w:rPr>
            </w:pPr>
            <w:r>
              <w:rPr>
                <w:rFonts w:ascii="Arial" w:hAnsi="Arial" w:cs="Arial"/>
                <w:color w:val="000000"/>
                <w:sz w:val="20"/>
                <w:szCs w:val="20"/>
              </w:rPr>
              <w:t>7</w:t>
            </w:r>
          </w:p>
        </w:tc>
        <w:tc>
          <w:tcPr>
            <w:tcW w:w="962" w:type="dxa"/>
            <w:tcBorders>
              <w:top w:val="nil"/>
              <w:left w:val="nil"/>
              <w:bottom w:val="single" w:sz="4" w:space="0" w:color="auto"/>
              <w:right w:val="single" w:sz="4" w:space="0" w:color="auto"/>
            </w:tcBorders>
            <w:shd w:val="clear" w:color="auto" w:fill="auto"/>
            <w:noWrap/>
            <w:vAlign w:val="center"/>
            <w:hideMark/>
          </w:tcPr>
          <w:p w14:paraId="7471954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322,02 </w:t>
            </w:r>
          </w:p>
        </w:tc>
        <w:tc>
          <w:tcPr>
            <w:tcW w:w="1141" w:type="dxa"/>
            <w:tcBorders>
              <w:top w:val="nil"/>
              <w:left w:val="nil"/>
              <w:bottom w:val="single" w:sz="4" w:space="0" w:color="auto"/>
              <w:right w:val="single" w:sz="4" w:space="0" w:color="auto"/>
            </w:tcBorders>
            <w:shd w:val="clear" w:color="auto" w:fill="auto"/>
            <w:noWrap/>
            <w:vAlign w:val="center"/>
            <w:hideMark/>
          </w:tcPr>
          <w:p w14:paraId="4478ABBF"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2.254,14 </w:t>
            </w:r>
          </w:p>
        </w:tc>
      </w:tr>
      <w:tr w:rsidR="00AD3735" w14:paraId="095269AE" w14:textId="77777777" w:rsidTr="0017033F">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CACD6AE" w14:textId="77777777" w:rsidR="00AD3735" w:rsidRDefault="00AD3735">
            <w:pPr>
              <w:jc w:val="center"/>
              <w:rPr>
                <w:rFonts w:ascii="Arial" w:hAnsi="Arial" w:cs="Arial"/>
                <w:color w:val="000000"/>
                <w:sz w:val="20"/>
                <w:szCs w:val="20"/>
              </w:rPr>
            </w:pPr>
            <w:r>
              <w:rPr>
                <w:rFonts w:ascii="Arial" w:hAnsi="Arial" w:cs="Arial"/>
                <w:color w:val="000000"/>
                <w:sz w:val="20"/>
                <w:szCs w:val="20"/>
              </w:rPr>
              <w:t>56</w:t>
            </w:r>
          </w:p>
        </w:tc>
        <w:tc>
          <w:tcPr>
            <w:tcW w:w="993" w:type="dxa"/>
            <w:tcBorders>
              <w:top w:val="nil"/>
              <w:left w:val="nil"/>
              <w:bottom w:val="single" w:sz="4" w:space="0" w:color="auto"/>
              <w:right w:val="single" w:sz="4" w:space="0" w:color="auto"/>
            </w:tcBorders>
            <w:shd w:val="clear" w:color="auto" w:fill="auto"/>
            <w:vAlign w:val="center"/>
            <w:hideMark/>
          </w:tcPr>
          <w:p w14:paraId="5DB48C07"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616960</w:t>
            </w:r>
          </w:p>
        </w:tc>
        <w:tc>
          <w:tcPr>
            <w:tcW w:w="7654" w:type="dxa"/>
            <w:tcBorders>
              <w:top w:val="nil"/>
              <w:left w:val="nil"/>
              <w:bottom w:val="single" w:sz="4" w:space="0" w:color="auto"/>
              <w:right w:val="single" w:sz="4" w:space="0" w:color="auto"/>
            </w:tcBorders>
            <w:shd w:val="clear" w:color="auto" w:fill="auto"/>
            <w:vAlign w:val="center"/>
            <w:hideMark/>
          </w:tcPr>
          <w:p w14:paraId="726CD8EF" w14:textId="77777777" w:rsidR="00AD3735" w:rsidRDefault="00AD3735">
            <w:pPr>
              <w:jc w:val="both"/>
              <w:rPr>
                <w:rFonts w:ascii="Arial" w:hAnsi="Arial" w:cs="Arial"/>
                <w:color w:val="000000"/>
                <w:sz w:val="20"/>
                <w:szCs w:val="20"/>
              </w:rPr>
            </w:pPr>
            <w:r>
              <w:rPr>
                <w:rFonts w:ascii="Arial" w:hAnsi="Arial" w:cs="Arial"/>
                <w:color w:val="000000"/>
                <w:sz w:val="20"/>
                <w:szCs w:val="20"/>
              </w:rPr>
              <w:t>Etiqueta para rotulador eletrônico fita compatível mk631 12mmx8m, cores variadas</w:t>
            </w:r>
          </w:p>
        </w:tc>
        <w:tc>
          <w:tcPr>
            <w:tcW w:w="1155" w:type="dxa"/>
            <w:tcBorders>
              <w:top w:val="nil"/>
              <w:left w:val="nil"/>
              <w:bottom w:val="single" w:sz="4" w:space="0" w:color="auto"/>
              <w:right w:val="single" w:sz="4" w:space="0" w:color="auto"/>
            </w:tcBorders>
            <w:shd w:val="clear" w:color="auto" w:fill="auto"/>
            <w:vAlign w:val="center"/>
            <w:hideMark/>
          </w:tcPr>
          <w:p w14:paraId="54CB3458"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12A406FD"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39ACC46B"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33F812A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19,09 </w:t>
            </w:r>
          </w:p>
        </w:tc>
        <w:tc>
          <w:tcPr>
            <w:tcW w:w="1141" w:type="dxa"/>
            <w:tcBorders>
              <w:top w:val="nil"/>
              <w:left w:val="nil"/>
              <w:bottom w:val="single" w:sz="4" w:space="0" w:color="auto"/>
              <w:right w:val="single" w:sz="4" w:space="0" w:color="auto"/>
            </w:tcBorders>
            <w:shd w:val="clear" w:color="auto" w:fill="auto"/>
            <w:noWrap/>
            <w:vAlign w:val="center"/>
            <w:hideMark/>
          </w:tcPr>
          <w:p w14:paraId="4EF0DCC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381,80 </w:t>
            </w:r>
          </w:p>
        </w:tc>
      </w:tr>
      <w:tr w:rsidR="00AD3735" w14:paraId="22699686" w14:textId="77777777" w:rsidTr="0017033F">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9ACF235" w14:textId="77777777" w:rsidR="00AD3735" w:rsidRDefault="00AD3735">
            <w:pPr>
              <w:jc w:val="center"/>
              <w:rPr>
                <w:rFonts w:ascii="Arial" w:hAnsi="Arial" w:cs="Arial"/>
                <w:color w:val="000000"/>
                <w:sz w:val="20"/>
                <w:szCs w:val="20"/>
              </w:rPr>
            </w:pPr>
            <w:r>
              <w:rPr>
                <w:rFonts w:ascii="Arial" w:hAnsi="Arial" w:cs="Arial"/>
                <w:color w:val="000000"/>
                <w:sz w:val="20"/>
                <w:szCs w:val="20"/>
              </w:rPr>
              <w:t>57</w:t>
            </w:r>
          </w:p>
        </w:tc>
        <w:tc>
          <w:tcPr>
            <w:tcW w:w="993" w:type="dxa"/>
            <w:tcBorders>
              <w:top w:val="nil"/>
              <w:left w:val="nil"/>
              <w:bottom w:val="single" w:sz="4" w:space="0" w:color="auto"/>
              <w:right w:val="single" w:sz="4" w:space="0" w:color="auto"/>
            </w:tcBorders>
            <w:shd w:val="clear" w:color="auto" w:fill="auto"/>
            <w:vAlign w:val="center"/>
            <w:hideMark/>
          </w:tcPr>
          <w:p w14:paraId="3AD4A55C"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322757</w:t>
            </w:r>
          </w:p>
        </w:tc>
        <w:tc>
          <w:tcPr>
            <w:tcW w:w="7654" w:type="dxa"/>
            <w:tcBorders>
              <w:top w:val="nil"/>
              <w:left w:val="nil"/>
              <w:bottom w:val="single" w:sz="4" w:space="0" w:color="auto"/>
              <w:right w:val="single" w:sz="4" w:space="0" w:color="auto"/>
            </w:tcBorders>
            <w:shd w:val="clear" w:color="auto" w:fill="auto"/>
            <w:vAlign w:val="center"/>
            <w:hideMark/>
          </w:tcPr>
          <w:p w14:paraId="0AD8868D" w14:textId="77777777" w:rsidR="00AD3735" w:rsidRDefault="00AD3735">
            <w:pPr>
              <w:jc w:val="both"/>
              <w:rPr>
                <w:rFonts w:ascii="Arial" w:hAnsi="Arial" w:cs="Arial"/>
                <w:color w:val="000000"/>
                <w:sz w:val="20"/>
                <w:szCs w:val="20"/>
              </w:rPr>
            </w:pPr>
            <w:r>
              <w:rPr>
                <w:rFonts w:ascii="Arial" w:hAnsi="Arial" w:cs="Arial"/>
                <w:color w:val="000000"/>
                <w:sz w:val="20"/>
                <w:szCs w:val="20"/>
              </w:rPr>
              <w:t>Bateria 9v alcalina</w:t>
            </w:r>
          </w:p>
        </w:tc>
        <w:tc>
          <w:tcPr>
            <w:tcW w:w="1155" w:type="dxa"/>
            <w:tcBorders>
              <w:top w:val="nil"/>
              <w:left w:val="nil"/>
              <w:bottom w:val="single" w:sz="4" w:space="0" w:color="auto"/>
              <w:right w:val="single" w:sz="4" w:space="0" w:color="auto"/>
            </w:tcBorders>
            <w:shd w:val="clear" w:color="auto" w:fill="auto"/>
            <w:vAlign w:val="center"/>
            <w:hideMark/>
          </w:tcPr>
          <w:p w14:paraId="2FAE97AE"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57FDBA7D"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3BE823CE"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53B259DF"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26,98 </w:t>
            </w:r>
          </w:p>
        </w:tc>
        <w:tc>
          <w:tcPr>
            <w:tcW w:w="1141" w:type="dxa"/>
            <w:tcBorders>
              <w:top w:val="nil"/>
              <w:left w:val="nil"/>
              <w:bottom w:val="single" w:sz="4" w:space="0" w:color="auto"/>
              <w:right w:val="single" w:sz="4" w:space="0" w:color="auto"/>
            </w:tcBorders>
            <w:shd w:val="clear" w:color="auto" w:fill="auto"/>
            <w:noWrap/>
            <w:vAlign w:val="center"/>
            <w:hideMark/>
          </w:tcPr>
          <w:p w14:paraId="7C2E972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809,40 </w:t>
            </w:r>
          </w:p>
        </w:tc>
      </w:tr>
      <w:tr w:rsidR="00AD3735" w14:paraId="64BB9AA0" w14:textId="77777777" w:rsidTr="0017033F">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C06720" w14:textId="77777777" w:rsidR="00AD3735" w:rsidRDefault="00AD3735">
            <w:pPr>
              <w:jc w:val="center"/>
              <w:rPr>
                <w:rFonts w:ascii="Arial" w:hAnsi="Arial" w:cs="Arial"/>
                <w:color w:val="000000"/>
                <w:sz w:val="20"/>
                <w:szCs w:val="20"/>
              </w:rPr>
            </w:pPr>
            <w:r>
              <w:rPr>
                <w:rFonts w:ascii="Arial" w:hAnsi="Arial" w:cs="Arial"/>
                <w:color w:val="000000"/>
                <w:sz w:val="20"/>
                <w:szCs w:val="20"/>
              </w:rPr>
              <w:t>58</w:t>
            </w:r>
          </w:p>
        </w:tc>
        <w:tc>
          <w:tcPr>
            <w:tcW w:w="993" w:type="dxa"/>
            <w:tcBorders>
              <w:top w:val="nil"/>
              <w:left w:val="nil"/>
              <w:bottom w:val="single" w:sz="4" w:space="0" w:color="auto"/>
              <w:right w:val="single" w:sz="4" w:space="0" w:color="auto"/>
            </w:tcBorders>
            <w:shd w:val="clear" w:color="auto" w:fill="auto"/>
            <w:vAlign w:val="center"/>
            <w:hideMark/>
          </w:tcPr>
          <w:p w14:paraId="3B41054D"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410947</w:t>
            </w:r>
          </w:p>
        </w:tc>
        <w:tc>
          <w:tcPr>
            <w:tcW w:w="7654" w:type="dxa"/>
            <w:tcBorders>
              <w:top w:val="nil"/>
              <w:left w:val="nil"/>
              <w:bottom w:val="single" w:sz="4" w:space="0" w:color="auto"/>
              <w:right w:val="single" w:sz="4" w:space="0" w:color="auto"/>
            </w:tcBorders>
            <w:shd w:val="clear" w:color="auto" w:fill="auto"/>
            <w:vAlign w:val="center"/>
            <w:hideMark/>
          </w:tcPr>
          <w:p w14:paraId="48752A2C" w14:textId="77777777" w:rsidR="00AD3735" w:rsidRDefault="00AD3735">
            <w:pPr>
              <w:jc w:val="both"/>
              <w:rPr>
                <w:rFonts w:ascii="Arial" w:hAnsi="Arial" w:cs="Arial"/>
                <w:color w:val="000000"/>
                <w:sz w:val="20"/>
                <w:szCs w:val="20"/>
              </w:rPr>
            </w:pPr>
            <w:r>
              <w:rPr>
                <w:rFonts w:ascii="Arial" w:hAnsi="Arial" w:cs="Arial"/>
                <w:color w:val="000000"/>
                <w:sz w:val="20"/>
                <w:szCs w:val="20"/>
              </w:rPr>
              <w:t>Pilha 12v, pacote com 2 und</w:t>
            </w:r>
          </w:p>
        </w:tc>
        <w:tc>
          <w:tcPr>
            <w:tcW w:w="1155" w:type="dxa"/>
            <w:tcBorders>
              <w:top w:val="nil"/>
              <w:left w:val="nil"/>
              <w:bottom w:val="single" w:sz="4" w:space="0" w:color="auto"/>
              <w:right w:val="single" w:sz="4" w:space="0" w:color="auto"/>
            </w:tcBorders>
            <w:shd w:val="clear" w:color="auto" w:fill="auto"/>
            <w:vAlign w:val="center"/>
            <w:hideMark/>
          </w:tcPr>
          <w:p w14:paraId="51DFB399" w14:textId="77777777" w:rsidR="00AD3735" w:rsidRDefault="00AD3735">
            <w:pPr>
              <w:jc w:val="center"/>
              <w:rPr>
                <w:rFonts w:ascii="Arial" w:hAnsi="Arial" w:cs="Arial"/>
                <w:color w:val="0A0A0A"/>
                <w:sz w:val="20"/>
                <w:szCs w:val="20"/>
              </w:rPr>
            </w:pPr>
            <w:r>
              <w:rPr>
                <w:rFonts w:ascii="Arial" w:hAnsi="Arial" w:cs="Arial"/>
                <w:color w:val="0A0A0A"/>
                <w:sz w:val="20"/>
                <w:szCs w:val="20"/>
              </w:rPr>
              <w:t>Pct 2 und</w:t>
            </w:r>
          </w:p>
        </w:tc>
        <w:tc>
          <w:tcPr>
            <w:tcW w:w="829" w:type="dxa"/>
            <w:tcBorders>
              <w:top w:val="nil"/>
              <w:left w:val="nil"/>
              <w:bottom w:val="single" w:sz="4" w:space="0" w:color="auto"/>
              <w:right w:val="single" w:sz="4" w:space="0" w:color="auto"/>
            </w:tcBorders>
            <w:shd w:val="clear" w:color="auto" w:fill="auto"/>
            <w:vAlign w:val="center"/>
            <w:hideMark/>
          </w:tcPr>
          <w:p w14:paraId="0DF9D7B7" w14:textId="77777777" w:rsidR="00AD3735" w:rsidRDefault="00AD3735">
            <w:pPr>
              <w:jc w:val="center"/>
              <w:rPr>
                <w:rFonts w:ascii="Arial" w:hAnsi="Arial" w:cs="Arial"/>
                <w:color w:val="0A0A0A"/>
                <w:sz w:val="20"/>
                <w:szCs w:val="20"/>
              </w:rPr>
            </w:pPr>
            <w:r>
              <w:rPr>
                <w:rFonts w:ascii="Arial" w:hAnsi="Arial" w:cs="Arial"/>
                <w:color w:val="0A0A0A"/>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44D546DF" w14:textId="77777777" w:rsidR="00AD3735" w:rsidRDefault="00AD3735">
            <w:pPr>
              <w:jc w:val="center"/>
              <w:rPr>
                <w:rFonts w:ascii="Arial" w:hAnsi="Arial" w:cs="Arial"/>
                <w:color w:val="000000"/>
                <w:sz w:val="20"/>
                <w:szCs w:val="20"/>
              </w:rPr>
            </w:pPr>
            <w:r>
              <w:rPr>
                <w:rFonts w:ascii="Arial" w:hAnsi="Arial" w:cs="Arial"/>
                <w:color w:val="000000"/>
                <w:sz w:val="20"/>
                <w:szCs w:val="20"/>
              </w:rPr>
              <w:t>30</w:t>
            </w:r>
          </w:p>
        </w:tc>
        <w:tc>
          <w:tcPr>
            <w:tcW w:w="962" w:type="dxa"/>
            <w:tcBorders>
              <w:top w:val="nil"/>
              <w:left w:val="nil"/>
              <w:bottom w:val="single" w:sz="4" w:space="0" w:color="auto"/>
              <w:right w:val="single" w:sz="4" w:space="0" w:color="auto"/>
            </w:tcBorders>
            <w:shd w:val="clear" w:color="auto" w:fill="auto"/>
            <w:noWrap/>
            <w:vAlign w:val="center"/>
            <w:hideMark/>
          </w:tcPr>
          <w:p w14:paraId="450CA61D"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24,90 </w:t>
            </w:r>
          </w:p>
        </w:tc>
        <w:tc>
          <w:tcPr>
            <w:tcW w:w="1141" w:type="dxa"/>
            <w:tcBorders>
              <w:top w:val="nil"/>
              <w:left w:val="nil"/>
              <w:bottom w:val="single" w:sz="4" w:space="0" w:color="auto"/>
              <w:right w:val="single" w:sz="4" w:space="0" w:color="auto"/>
            </w:tcBorders>
            <w:shd w:val="clear" w:color="auto" w:fill="auto"/>
            <w:noWrap/>
            <w:vAlign w:val="center"/>
            <w:hideMark/>
          </w:tcPr>
          <w:p w14:paraId="114D7CDB"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747,00 </w:t>
            </w:r>
          </w:p>
        </w:tc>
      </w:tr>
      <w:tr w:rsidR="00AD3735" w14:paraId="100B45F2" w14:textId="77777777" w:rsidTr="0017033F">
        <w:trPr>
          <w:trHeight w:val="10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C27C764" w14:textId="77777777" w:rsidR="00AD3735" w:rsidRDefault="00AD3735">
            <w:pPr>
              <w:jc w:val="center"/>
              <w:rPr>
                <w:rFonts w:ascii="Arial" w:hAnsi="Arial" w:cs="Arial"/>
                <w:color w:val="000000"/>
                <w:sz w:val="20"/>
                <w:szCs w:val="20"/>
              </w:rPr>
            </w:pPr>
            <w:r>
              <w:rPr>
                <w:rFonts w:ascii="Arial" w:hAnsi="Arial" w:cs="Arial"/>
                <w:color w:val="000000"/>
                <w:sz w:val="20"/>
                <w:szCs w:val="20"/>
              </w:rPr>
              <w:lastRenderedPageBreak/>
              <w:t>59</w:t>
            </w:r>
          </w:p>
        </w:tc>
        <w:tc>
          <w:tcPr>
            <w:tcW w:w="993" w:type="dxa"/>
            <w:tcBorders>
              <w:top w:val="nil"/>
              <w:left w:val="nil"/>
              <w:bottom w:val="single" w:sz="4" w:space="0" w:color="auto"/>
              <w:right w:val="single" w:sz="4" w:space="0" w:color="auto"/>
            </w:tcBorders>
            <w:shd w:val="clear" w:color="auto" w:fill="auto"/>
            <w:vAlign w:val="center"/>
            <w:hideMark/>
          </w:tcPr>
          <w:p w14:paraId="6D1903F1"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411219</w:t>
            </w:r>
          </w:p>
        </w:tc>
        <w:tc>
          <w:tcPr>
            <w:tcW w:w="7654" w:type="dxa"/>
            <w:tcBorders>
              <w:top w:val="nil"/>
              <w:left w:val="nil"/>
              <w:bottom w:val="single" w:sz="4" w:space="0" w:color="auto"/>
              <w:right w:val="single" w:sz="4" w:space="0" w:color="auto"/>
            </w:tcBorders>
            <w:shd w:val="clear" w:color="auto" w:fill="auto"/>
            <w:vAlign w:val="center"/>
            <w:hideMark/>
          </w:tcPr>
          <w:p w14:paraId="73B932BA" w14:textId="77777777" w:rsidR="00AD3735" w:rsidRDefault="00AD3735">
            <w:pPr>
              <w:jc w:val="both"/>
              <w:rPr>
                <w:rFonts w:ascii="Arial" w:hAnsi="Arial" w:cs="Arial"/>
                <w:color w:val="000000"/>
                <w:sz w:val="20"/>
                <w:szCs w:val="20"/>
              </w:rPr>
            </w:pPr>
            <w:r>
              <w:rPr>
                <w:rFonts w:ascii="Arial" w:hAnsi="Arial" w:cs="Arial"/>
                <w:color w:val="000000"/>
                <w:sz w:val="20"/>
                <w:szCs w:val="20"/>
              </w:rPr>
              <w:t>Fragmentadora papel, capacidade fragmentação:30 fl ou superior por vez, tensão motor:110 v, dimensões picote:4 mm x 12 mm ou menor, bandeija automática para papel a4, capacidade lixeira: não inferior a 19l, tipo:elétrico, características adicionais:corta papéis com clips ou grampos, disquete e cd.</w:t>
            </w:r>
          </w:p>
        </w:tc>
        <w:tc>
          <w:tcPr>
            <w:tcW w:w="1155" w:type="dxa"/>
            <w:tcBorders>
              <w:top w:val="nil"/>
              <w:left w:val="nil"/>
              <w:bottom w:val="single" w:sz="4" w:space="0" w:color="auto"/>
              <w:right w:val="single" w:sz="4" w:space="0" w:color="auto"/>
            </w:tcBorders>
            <w:shd w:val="clear" w:color="auto" w:fill="auto"/>
            <w:vAlign w:val="center"/>
            <w:hideMark/>
          </w:tcPr>
          <w:p w14:paraId="22DC0547"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6DC34A6F"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780B75C3" w14:textId="77777777" w:rsidR="00AD3735" w:rsidRDefault="00AD3735">
            <w:pPr>
              <w:jc w:val="center"/>
              <w:rPr>
                <w:rFonts w:ascii="Arial" w:hAnsi="Arial" w:cs="Arial"/>
                <w:color w:val="000000"/>
                <w:sz w:val="20"/>
                <w:szCs w:val="20"/>
              </w:rPr>
            </w:pPr>
            <w:r>
              <w:rPr>
                <w:rFonts w:ascii="Arial" w:hAnsi="Arial" w:cs="Arial"/>
                <w:color w:val="000000"/>
                <w:sz w:val="20"/>
                <w:szCs w:val="20"/>
              </w:rPr>
              <w:t>5</w:t>
            </w:r>
          </w:p>
        </w:tc>
        <w:tc>
          <w:tcPr>
            <w:tcW w:w="962" w:type="dxa"/>
            <w:tcBorders>
              <w:top w:val="nil"/>
              <w:left w:val="nil"/>
              <w:bottom w:val="single" w:sz="4" w:space="0" w:color="auto"/>
              <w:right w:val="single" w:sz="4" w:space="0" w:color="auto"/>
            </w:tcBorders>
            <w:shd w:val="clear" w:color="auto" w:fill="auto"/>
            <w:noWrap/>
            <w:vAlign w:val="center"/>
            <w:hideMark/>
          </w:tcPr>
          <w:p w14:paraId="6AB1BA5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3.599,00 </w:t>
            </w:r>
          </w:p>
        </w:tc>
        <w:tc>
          <w:tcPr>
            <w:tcW w:w="1141" w:type="dxa"/>
            <w:tcBorders>
              <w:top w:val="nil"/>
              <w:left w:val="nil"/>
              <w:bottom w:val="single" w:sz="4" w:space="0" w:color="auto"/>
              <w:right w:val="single" w:sz="4" w:space="0" w:color="auto"/>
            </w:tcBorders>
            <w:shd w:val="clear" w:color="auto" w:fill="auto"/>
            <w:noWrap/>
            <w:vAlign w:val="center"/>
            <w:hideMark/>
          </w:tcPr>
          <w:p w14:paraId="3F46893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17.995,00 </w:t>
            </w:r>
          </w:p>
        </w:tc>
      </w:tr>
      <w:tr w:rsidR="00AD3735" w14:paraId="58A8765D" w14:textId="77777777" w:rsidTr="00A94DA9">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872085" w14:textId="77777777" w:rsidR="00AD3735" w:rsidRDefault="00AD3735">
            <w:pPr>
              <w:jc w:val="center"/>
              <w:rPr>
                <w:rFonts w:ascii="Arial" w:hAnsi="Arial" w:cs="Arial"/>
                <w:color w:val="000000"/>
                <w:sz w:val="20"/>
                <w:szCs w:val="20"/>
              </w:rPr>
            </w:pPr>
            <w:r>
              <w:rPr>
                <w:rFonts w:ascii="Arial" w:hAnsi="Arial" w:cs="Arial"/>
                <w:color w:val="000000"/>
                <w:sz w:val="20"/>
                <w:szCs w:val="20"/>
              </w:rPr>
              <w:t>60</w:t>
            </w:r>
          </w:p>
        </w:tc>
        <w:tc>
          <w:tcPr>
            <w:tcW w:w="993" w:type="dxa"/>
            <w:tcBorders>
              <w:top w:val="nil"/>
              <w:left w:val="nil"/>
              <w:bottom w:val="single" w:sz="4" w:space="0" w:color="auto"/>
              <w:right w:val="single" w:sz="4" w:space="0" w:color="auto"/>
            </w:tcBorders>
            <w:shd w:val="clear" w:color="auto" w:fill="auto"/>
            <w:vAlign w:val="center"/>
            <w:hideMark/>
          </w:tcPr>
          <w:p w14:paraId="29F74C5C"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357834</w:t>
            </w:r>
          </w:p>
        </w:tc>
        <w:tc>
          <w:tcPr>
            <w:tcW w:w="7654" w:type="dxa"/>
            <w:tcBorders>
              <w:top w:val="nil"/>
              <w:left w:val="nil"/>
              <w:bottom w:val="single" w:sz="4" w:space="0" w:color="auto"/>
              <w:right w:val="single" w:sz="4" w:space="0" w:color="auto"/>
            </w:tcBorders>
            <w:shd w:val="clear" w:color="auto" w:fill="auto"/>
            <w:vAlign w:val="center"/>
            <w:hideMark/>
          </w:tcPr>
          <w:p w14:paraId="0F392830" w14:textId="1273EB48" w:rsidR="00AD3735" w:rsidRDefault="00AD3735">
            <w:pPr>
              <w:jc w:val="both"/>
              <w:rPr>
                <w:rFonts w:ascii="Arial" w:hAnsi="Arial" w:cs="Arial"/>
                <w:color w:val="000000"/>
                <w:sz w:val="20"/>
                <w:szCs w:val="20"/>
              </w:rPr>
            </w:pPr>
            <w:r>
              <w:rPr>
                <w:rFonts w:ascii="Arial" w:hAnsi="Arial" w:cs="Arial"/>
                <w:color w:val="000000"/>
                <w:sz w:val="20"/>
                <w:szCs w:val="20"/>
              </w:rPr>
              <w:t xml:space="preserve">cartucho/tonner preto </w:t>
            </w:r>
            <w:r w:rsidR="00A94DA9">
              <w:rPr>
                <w:rFonts w:ascii="Arial" w:hAnsi="Arial" w:cs="Arial"/>
                <w:color w:val="000000"/>
                <w:sz w:val="20"/>
                <w:szCs w:val="20"/>
              </w:rPr>
              <w:t xml:space="preserve">original da impressora </w:t>
            </w:r>
            <w:r w:rsidR="00A94DA9" w:rsidRPr="00A94DA9">
              <w:rPr>
                <w:rFonts w:ascii="Arial" w:hAnsi="Arial" w:cs="Arial" w:hint="eastAsia"/>
                <w:color w:val="000000"/>
                <w:sz w:val="20"/>
                <w:szCs w:val="20"/>
              </w:rPr>
              <w:t>HP Pro 4303FDW Mfp</w:t>
            </w:r>
            <w:r w:rsidR="00A94DA9">
              <w:rPr>
                <w:rFonts w:ascii="Arial" w:hAnsi="Arial" w:cs="Arial"/>
                <w:color w:val="000000"/>
                <w:sz w:val="20"/>
                <w:szCs w:val="20"/>
              </w:rPr>
              <w:t>, Não serão aceitos cartuchos não originais HP por questões relacionadas à garantia.</w:t>
            </w:r>
          </w:p>
        </w:tc>
        <w:tc>
          <w:tcPr>
            <w:tcW w:w="1155" w:type="dxa"/>
            <w:tcBorders>
              <w:top w:val="nil"/>
              <w:left w:val="nil"/>
              <w:bottom w:val="single" w:sz="4" w:space="0" w:color="auto"/>
              <w:right w:val="single" w:sz="4" w:space="0" w:color="auto"/>
            </w:tcBorders>
            <w:shd w:val="clear" w:color="auto" w:fill="auto"/>
            <w:vAlign w:val="center"/>
            <w:hideMark/>
          </w:tcPr>
          <w:p w14:paraId="1EC766D9"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62C14927"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2C205175" w14:textId="77777777" w:rsidR="00AD3735" w:rsidRDefault="00AD3735">
            <w:pPr>
              <w:jc w:val="center"/>
              <w:rPr>
                <w:rFonts w:ascii="Arial" w:hAnsi="Arial" w:cs="Arial"/>
                <w:color w:val="000000"/>
                <w:sz w:val="20"/>
                <w:szCs w:val="20"/>
              </w:rPr>
            </w:pPr>
            <w:r>
              <w:rPr>
                <w:rFonts w:ascii="Arial" w:hAnsi="Arial" w:cs="Arial"/>
                <w:color w:val="000000"/>
                <w:sz w:val="20"/>
                <w:szCs w:val="20"/>
              </w:rPr>
              <w:t>24</w:t>
            </w:r>
          </w:p>
        </w:tc>
        <w:tc>
          <w:tcPr>
            <w:tcW w:w="962" w:type="dxa"/>
            <w:tcBorders>
              <w:top w:val="nil"/>
              <w:left w:val="nil"/>
              <w:bottom w:val="single" w:sz="4" w:space="0" w:color="auto"/>
              <w:right w:val="single" w:sz="4" w:space="0" w:color="auto"/>
            </w:tcBorders>
            <w:shd w:val="clear" w:color="auto" w:fill="auto"/>
            <w:noWrap/>
            <w:vAlign w:val="center"/>
            <w:hideMark/>
          </w:tcPr>
          <w:p w14:paraId="6EE1CBBE"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798,66 </w:t>
            </w:r>
          </w:p>
        </w:tc>
        <w:tc>
          <w:tcPr>
            <w:tcW w:w="1141" w:type="dxa"/>
            <w:tcBorders>
              <w:top w:val="nil"/>
              <w:left w:val="nil"/>
              <w:bottom w:val="single" w:sz="4" w:space="0" w:color="auto"/>
              <w:right w:val="single" w:sz="4" w:space="0" w:color="auto"/>
            </w:tcBorders>
            <w:shd w:val="clear" w:color="auto" w:fill="auto"/>
            <w:noWrap/>
            <w:vAlign w:val="center"/>
            <w:hideMark/>
          </w:tcPr>
          <w:p w14:paraId="67523AD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19.167,84 </w:t>
            </w:r>
          </w:p>
        </w:tc>
      </w:tr>
      <w:tr w:rsidR="00AD3735" w14:paraId="44E82CCB" w14:textId="77777777" w:rsidTr="00A94DA9">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1D1BE54" w14:textId="77777777" w:rsidR="00AD3735" w:rsidRDefault="00AD3735">
            <w:pPr>
              <w:jc w:val="center"/>
              <w:rPr>
                <w:rFonts w:ascii="Arial" w:hAnsi="Arial" w:cs="Arial"/>
                <w:color w:val="000000"/>
                <w:sz w:val="20"/>
                <w:szCs w:val="20"/>
              </w:rPr>
            </w:pPr>
            <w:r>
              <w:rPr>
                <w:rFonts w:ascii="Arial" w:hAnsi="Arial" w:cs="Arial"/>
                <w:color w:val="000000"/>
                <w:sz w:val="20"/>
                <w:szCs w:val="20"/>
              </w:rPr>
              <w:t>61</w:t>
            </w:r>
          </w:p>
        </w:tc>
        <w:tc>
          <w:tcPr>
            <w:tcW w:w="993" w:type="dxa"/>
            <w:tcBorders>
              <w:top w:val="nil"/>
              <w:left w:val="nil"/>
              <w:bottom w:val="single" w:sz="4" w:space="0" w:color="auto"/>
              <w:right w:val="single" w:sz="4" w:space="0" w:color="auto"/>
            </w:tcBorders>
            <w:shd w:val="clear" w:color="auto" w:fill="auto"/>
            <w:vAlign w:val="center"/>
            <w:hideMark/>
          </w:tcPr>
          <w:p w14:paraId="767F6F9C"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357838</w:t>
            </w:r>
          </w:p>
        </w:tc>
        <w:tc>
          <w:tcPr>
            <w:tcW w:w="7654" w:type="dxa"/>
            <w:tcBorders>
              <w:top w:val="nil"/>
              <w:left w:val="nil"/>
              <w:bottom w:val="single" w:sz="4" w:space="0" w:color="auto"/>
              <w:right w:val="single" w:sz="4" w:space="0" w:color="auto"/>
            </w:tcBorders>
            <w:shd w:val="clear" w:color="auto" w:fill="auto"/>
            <w:vAlign w:val="center"/>
            <w:hideMark/>
          </w:tcPr>
          <w:p w14:paraId="11E99E5F" w14:textId="07C3B224" w:rsidR="00AD3735" w:rsidRDefault="00AD3735">
            <w:pPr>
              <w:jc w:val="both"/>
              <w:rPr>
                <w:rFonts w:ascii="Arial" w:hAnsi="Arial" w:cs="Arial"/>
                <w:color w:val="000000"/>
                <w:sz w:val="20"/>
                <w:szCs w:val="20"/>
              </w:rPr>
            </w:pPr>
            <w:r>
              <w:rPr>
                <w:rFonts w:ascii="Arial" w:hAnsi="Arial" w:cs="Arial"/>
                <w:color w:val="000000"/>
                <w:sz w:val="20"/>
                <w:szCs w:val="20"/>
              </w:rPr>
              <w:t xml:space="preserve">cartucho/tonner colorido na cor ciano </w:t>
            </w:r>
            <w:r w:rsidR="00A94DA9">
              <w:rPr>
                <w:rFonts w:ascii="Arial" w:hAnsi="Arial" w:cs="Arial"/>
                <w:color w:val="000000"/>
                <w:sz w:val="20"/>
                <w:szCs w:val="20"/>
              </w:rPr>
              <w:t xml:space="preserve">original da impressora </w:t>
            </w:r>
            <w:r w:rsidR="00A94DA9" w:rsidRPr="00A94DA9">
              <w:rPr>
                <w:rFonts w:ascii="Arial" w:hAnsi="Arial" w:cs="Arial" w:hint="eastAsia"/>
                <w:color w:val="000000"/>
                <w:sz w:val="20"/>
                <w:szCs w:val="20"/>
              </w:rPr>
              <w:t>HP Pro 4303FDW Mfp</w:t>
            </w:r>
            <w:r w:rsidR="00A94DA9">
              <w:rPr>
                <w:rFonts w:ascii="Arial" w:hAnsi="Arial" w:cs="Arial"/>
                <w:color w:val="000000"/>
                <w:sz w:val="20"/>
                <w:szCs w:val="20"/>
              </w:rPr>
              <w:t>, Não serão aceitos cartuchos não originais HP por questões relacionadas à garantia.</w:t>
            </w:r>
          </w:p>
        </w:tc>
        <w:tc>
          <w:tcPr>
            <w:tcW w:w="1155" w:type="dxa"/>
            <w:tcBorders>
              <w:top w:val="nil"/>
              <w:left w:val="nil"/>
              <w:bottom w:val="single" w:sz="4" w:space="0" w:color="auto"/>
              <w:right w:val="single" w:sz="4" w:space="0" w:color="auto"/>
            </w:tcBorders>
            <w:shd w:val="clear" w:color="auto" w:fill="auto"/>
            <w:vAlign w:val="center"/>
            <w:hideMark/>
          </w:tcPr>
          <w:p w14:paraId="4A6D6F2A"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634E7120"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5356D4C8" w14:textId="77777777" w:rsidR="00AD3735" w:rsidRDefault="00AD3735">
            <w:pPr>
              <w:jc w:val="center"/>
              <w:rPr>
                <w:rFonts w:ascii="Arial" w:hAnsi="Arial" w:cs="Arial"/>
                <w:color w:val="000000"/>
                <w:sz w:val="20"/>
                <w:szCs w:val="20"/>
              </w:rPr>
            </w:pPr>
            <w:r>
              <w:rPr>
                <w:rFonts w:ascii="Arial" w:hAnsi="Arial" w:cs="Arial"/>
                <w:color w:val="000000"/>
                <w:sz w:val="20"/>
                <w:szCs w:val="20"/>
              </w:rPr>
              <w:t>12</w:t>
            </w:r>
          </w:p>
        </w:tc>
        <w:tc>
          <w:tcPr>
            <w:tcW w:w="962" w:type="dxa"/>
            <w:tcBorders>
              <w:top w:val="nil"/>
              <w:left w:val="nil"/>
              <w:bottom w:val="single" w:sz="4" w:space="0" w:color="auto"/>
              <w:right w:val="single" w:sz="4" w:space="0" w:color="auto"/>
            </w:tcBorders>
            <w:shd w:val="clear" w:color="auto" w:fill="auto"/>
            <w:noWrap/>
            <w:vAlign w:val="center"/>
            <w:hideMark/>
          </w:tcPr>
          <w:p w14:paraId="452DD5A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959,34 </w:t>
            </w:r>
          </w:p>
        </w:tc>
        <w:tc>
          <w:tcPr>
            <w:tcW w:w="1141" w:type="dxa"/>
            <w:tcBorders>
              <w:top w:val="nil"/>
              <w:left w:val="nil"/>
              <w:bottom w:val="single" w:sz="4" w:space="0" w:color="auto"/>
              <w:right w:val="single" w:sz="4" w:space="0" w:color="auto"/>
            </w:tcBorders>
            <w:shd w:val="clear" w:color="auto" w:fill="auto"/>
            <w:noWrap/>
            <w:vAlign w:val="center"/>
            <w:hideMark/>
          </w:tcPr>
          <w:p w14:paraId="0A6AF93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11.512,08 </w:t>
            </w:r>
          </w:p>
        </w:tc>
      </w:tr>
      <w:tr w:rsidR="00AD3735" w14:paraId="56A8C0F4" w14:textId="77777777" w:rsidTr="00A94DA9">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0B31DA" w14:textId="77777777" w:rsidR="00AD3735" w:rsidRDefault="00AD3735">
            <w:pPr>
              <w:jc w:val="center"/>
              <w:rPr>
                <w:rFonts w:ascii="Arial" w:hAnsi="Arial" w:cs="Arial"/>
                <w:color w:val="000000"/>
                <w:sz w:val="20"/>
                <w:szCs w:val="20"/>
              </w:rPr>
            </w:pPr>
            <w:r>
              <w:rPr>
                <w:rFonts w:ascii="Arial" w:hAnsi="Arial" w:cs="Arial"/>
                <w:color w:val="000000"/>
                <w:sz w:val="20"/>
                <w:szCs w:val="20"/>
              </w:rPr>
              <w:t>62</w:t>
            </w:r>
          </w:p>
        </w:tc>
        <w:tc>
          <w:tcPr>
            <w:tcW w:w="993" w:type="dxa"/>
            <w:tcBorders>
              <w:top w:val="nil"/>
              <w:left w:val="nil"/>
              <w:bottom w:val="single" w:sz="4" w:space="0" w:color="auto"/>
              <w:right w:val="single" w:sz="4" w:space="0" w:color="auto"/>
            </w:tcBorders>
            <w:shd w:val="clear" w:color="auto" w:fill="auto"/>
            <w:vAlign w:val="center"/>
            <w:hideMark/>
          </w:tcPr>
          <w:p w14:paraId="3A84445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357836</w:t>
            </w:r>
          </w:p>
        </w:tc>
        <w:tc>
          <w:tcPr>
            <w:tcW w:w="7654" w:type="dxa"/>
            <w:tcBorders>
              <w:top w:val="nil"/>
              <w:left w:val="nil"/>
              <w:bottom w:val="single" w:sz="4" w:space="0" w:color="auto"/>
              <w:right w:val="single" w:sz="4" w:space="0" w:color="auto"/>
            </w:tcBorders>
            <w:shd w:val="clear" w:color="auto" w:fill="auto"/>
            <w:vAlign w:val="center"/>
            <w:hideMark/>
          </w:tcPr>
          <w:p w14:paraId="7F3DEC9B" w14:textId="5FCCC200" w:rsidR="00AD3735" w:rsidRDefault="00AD3735">
            <w:pPr>
              <w:jc w:val="both"/>
              <w:rPr>
                <w:rFonts w:ascii="Arial" w:hAnsi="Arial" w:cs="Arial"/>
                <w:color w:val="000000"/>
                <w:sz w:val="20"/>
                <w:szCs w:val="20"/>
              </w:rPr>
            </w:pPr>
            <w:r>
              <w:rPr>
                <w:rFonts w:ascii="Arial" w:hAnsi="Arial" w:cs="Arial"/>
                <w:color w:val="000000"/>
                <w:sz w:val="20"/>
                <w:szCs w:val="20"/>
              </w:rPr>
              <w:t xml:space="preserve">cartucho/tonner colorido na cor magenta </w:t>
            </w:r>
            <w:r w:rsidR="00A94DA9">
              <w:rPr>
                <w:rFonts w:ascii="Arial" w:hAnsi="Arial" w:cs="Arial"/>
                <w:color w:val="000000"/>
                <w:sz w:val="20"/>
                <w:szCs w:val="20"/>
              </w:rPr>
              <w:t xml:space="preserve">original da impressora </w:t>
            </w:r>
            <w:r w:rsidR="00A94DA9" w:rsidRPr="00A94DA9">
              <w:rPr>
                <w:rFonts w:ascii="Arial" w:hAnsi="Arial" w:cs="Arial" w:hint="eastAsia"/>
                <w:color w:val="000000"/>
                <w:sz w:val="20"/>
                <w:szCs w:val="20"/>
              </w:rPr>
              <w:t>HP Pro 4303FDW Mfp</w:t>
            </w:r>
            <w:r w:rsidR="00A94DA9">
              <w:rPr>
                <w:rFonts w:ascii="Arial" w:hAnsi="Arial" w:cs="Arial"/>
                <w:color w:val="000000"/>
                <w:sz w:val="20"/>
                <w:szCs w:val="20"/>
              </w:rPr>
              <w:t xml:space="preserve">, </w:t>
            </w:r>
            <w:r w:rsidR="00A94DA9">
              <w:rPr>
                <w:rFonts w:ascii="Arial" w:hAnsi="Arial" w:cs="Arial"/>
                <w:color w:val="000000"/>
                <w:sz w:val="20"/>
                <w:szCs w:val="20"/>
              </w:rPr>
              <w:t>não</w:t>
            </w:r>
            <w:r w:rsidR="00A94DA9">
              <w:rPr>
                <w:rFonts w:ascii="Arial" w:hAnsi="Arial" w:cs="Arial"/>
                <w:color w:val="000000"/>
                <w:sz w:val="20"/>
                <w:szCs w:val="20"/>
              </w:rPr>
              <w:t xml:space="preserve"> serão aceitos cartuchos não originais HP por questões relacionadas à garantia.</w:t>
            </w:r>
          </w:p>
        </w:tc>
        <w:tc>
          <w:tcPr>
            <w:tcW w:w="1155" w:type="dxa"/>
            <w:tcBorders>
              <w:top w:val="nil"/>
              <w:left w:val="nil"/>
              <w:bottom w:val="single" w:sz="4" w:space="0" w:color="auto"/>
              <w:right w:val="single" w:sz="4" w:space="0" w:color="auto"/>
            </w:tcBorders>
            <w:shd w:val="clear" w:color="auto" w:fill="auto"/>
            <w:vAlign w:val="center"/>
            <w:hideMark/>
          </w:tcPr>
          <w:p w14:paraId="05AAE8F4"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08B788D3"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0408B244" w14:textId="77777777" w:rsidR="00AD3735" w:rsidRDefault="00AD3735">
            <w:pPr>
              <w:jc w:val="center"/>
              <w:rPr>
                <w:rFonts w:ascii="Arial" w:hAnsi="Arial" w:cs="Arial"/>
                <w:color w:val="000000"/>
                <w:sz w:val="20"/>
                <w:szCs w:val="20"/>
              </w:rPr>
            </w:pPr>
            <w:r>
              <w:rPr>
                <w:rFonts w:ascii="Arial" w:hAnsi="Arial" w:cs="Arial"/>
                <w:color w:val="000000"/>
                <w:sz w:val="20"/>
                <w:szCs w:val="20"/>
              </w:rPr>
              <w:t>12</w:t>
            </w:r>
          </w:p>
        </w:tc>
        <w:tc>
          <w:tcPr>
            <w:tcW w:w="962" w:type="dxa"/>
            <w:tcBorders>
              <w:top w:val="nil"/>
              <w:left w:val="nil"/>
              <w:bottom w:val="single" w:sz="4" w:space="0" w:color="auto"/>
              <w:right w:val="single" w:sz="4" w:space="0" w:color="auto"/>
            </w:tcBorders>
            <w:shd w:val="clear" w:color="auto" w:fill="auto"/>
            <w:noWrap/>
            <w:vAlign w:val="center"/>
            <w:hideMark/>
          </w:tcPr>
          <w:p w14:paraId="5CAB833D"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959,34 </w:t>
            </w:r>
          </w:p>
        </w:tc>
        <w:tc>
          <w:tcPr>
            <w:tcW w:w="1141" w:type="dxa"/>
            <w:tcBorders>
              <w:top w:val="nil"/>
              <w:left w:val="nil"/>
              <w:bottom w:val="single" w:sz="4" w:space="0" w:color="auto"/>
              <w:right w:val="single" w:sz="4" w:space="0" w:color="auto"/>
            </w:tcBorders>
            <w:shd w:val="clear" w:color="auto" w:fill="auto"/>
            <w:noWrap/>
            <w:vAlign w:val="center"/>
            <w:hideMark/>
          </w:tcPr>
          <w:p w14:paraId="3AD69F44"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11.512,08 </w:t>
            </w:r>
          </w:p>
        </w:tc>
      </w:tr>
      <w:tr w:rsidR="00AD3735" w14:paraId="2728AA16" w14:textId="77777777" w:rsidTr="00A94DA9">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2FF34E6" w14:textId="77777777" w:rsidR="00AD3735" w:rsidRDefault="00AD3735">
            <w:pPr>
              <w:jc w:val="center"/>
              <w:rPr>
                <w:rFonts w:ascii="Arial" w:hAnsi="Arial" w:cs="Arial"/>
                <w:color w:val="000000"/>
                <w:sz w:val="20"/>
                <w:szCs w:val="20"/>
              </w:rPr>
            </w:pPr>
            <w:r>
              <w:rPr>
                <w:rFonts w:ascii="Arial" w:hAnsi="Arial" w:cs="Arial"/>
                <w:color w:val="000000"/>
                <w:sz w:val="20"/>
                <w:szCs w:val="20"/>
              </w:rPr>
              <w:t>63</w:t>
            </w:r>
          </w:p>
        </w:tc>
        <w:tc>
          <w:tcPr>
            <w:tcW w:w="993" w:type="dxa"/>
            <w:tcBorders>
              <w:top w:val="nil"/>
              <w:left w:val="nil"/>
              <w:bottom w:val="single" w:sz="4" w:space="0" w:color="auto"/>
              <w:right w:val="single" w:sz="4" w:space="0" w:color="auto"/>
            </w:tcBorders>
            <w:shd w:val="clear" w:color="auto" w:fill="auto"/>
            <w:vAlign w:val="center"/>
            <w:hideMark/>
          </w:tcPr>
          <w:p w14:paraId="339D1061"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357837</w:t>
            </w:r>
          </w:p>
        </w:tc>
        <w:tc>
          <w:tcPr>
            <w:tcW w:w="7654" w:type="dxa"/>
            <w:tcBorders>
              <w:top w:val="nil"/>
              <w:left w:val="nil"/>
              <w:bottom w:val="single" w:sz="4" w:space="0" w:color="auto"/>
              <w:right w:val="single" w:sz="4" w:space="0" w:color="auto"/>
            </w:tcBorders>
            <w:shd w:val="clear" w:color="auto" w:fill="auto"/>
            <w:vAlign w:val="center"/>
            <w:hideMark/>
          </w:tcPr>
          <w:p w14:paraId="2B8A3540" w14:textId="2C88E628" w:rsidR="00AD3735" w:rsidRDefault="00AD3735">
            <w:pPr>
              <w:jc w:val="both"/>
              <w:rPr>
                <w:rFonts w:ascii="Arial" w:hAnsi="Arial" w:cs="Arial"/>
                <w:color w:val="000000"/>
                <w:sz w:val="20"/>
                <w:szCs w:val="20"/>
              </w:rPr>
            </w:pPr>
            <w:r>
              <w:rPr>
                <w:rFonts w:ascii="Arial" w:hAnsi="Arial" w:cs="Arial"/>
                <w:color w:val="000000"/>
                <w:sz w:val="20"/>
                <w:szCs w:val="20"/>
              </w:rPr>
              <w:t xml:space="preserve">cartucho/tonner colorido na cor amarelo </w:t>
            </w:r>
            <w:r w:rsidR="00A94DA9">
              <w:rPr>
                <w:rFonts w:ascii="Arial" w:hAnsi="Arial" w:cs="Arial"/>
                <w:color w:val="000000"/>
                <w:sz w:val="20"/>
                <w:szCs w:val="20"/>
              </w:rPr>
              <w:t xml:space="preserve">original da impressora </w:t>
            </w:r>
            <w:r w:rsidR="00A94DA9" w:rsidRPr="00A94DA9">
              <w:rPr>
                <w:rFonts w:ascii="Arial" w:hAnsi="Arial" w:cs="Arial" w:hint="eastAsia"/>
                <w:color w:val="000000"/>
                <w:sz w:val="20"/>
                <w:szCs w:val="20"/>
              </w:rPr>
              <w:t>HP Pro 4303FDW Mfp</w:t>
            </w:r>
            <w:r w:rsidR="00A94DA9">
              <w:rPr>
                <w:rFonts w:ascii="Arial" w:hAnsi="Arial" w:cs="Arial"/>
                <w:color w:val="000000"/>
                <w:sz w:val="20"/>
                <w:szCs w:val="20"/>
              </w:rPr>
              <w:t>, Não serão aceitos cartuchos não originais HP por questões relacionadas à garantia.</w:t>
            </w:r>
          </w:p>
        </w:tc>
        <w:tc>
          <w:tcPr>
            <w:tcW w:w="1155" w:type="dxa"/>
            <w:tcBorders>
              <w:top w:val="nil"/>
              <w:left w:val="nil"/>
              <w:bottom w:val="single" w:sz="4" w:space="0" w:color="auto"/>
              <w:right w:val="single" w:sz="4" w:space="0" w:color="auto"/>
            </w:tcBorders>
            <w:shd w:val="clear" w:color="auto" w:fill="auto"/>
            <w:vAlign w:val="center"/>
            <w:hideMark/>
          </w:tcPr>
          <w:p w14:paraId="7029B42F"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vAlign w:val="center"/>
            <w:hideMark/>
          </w:tcPr>
          <w:p w14:paraId="0AF26A69"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vAlign w:val="center"/>
            <w:hideMark/>
          </w:tcPr>
          <w:p w14:paraId="10E8F106" w14:textId="77777777" w:rsidR="00AD3735" w:rsidRDefault="00AD3735">
            <w:pPr>
              <w:jc w:val="center"/>
              <w:rPr>
                <w:rFonts w:ascii="Arial" w:hAnsi="Arial" w:cs="Arial"/>
                <w:color w:val="000000"/>
                <w:sz w:val="20"/>
                <w:szCs w:val="20"/>
              </w:rPr>
            </w:pPr>
            <w:r>
              <w:rPr>
                <w:rFonts w:ascii="Arial" w:hAnsi="Arial" w:cs="Arial"/>
                <w:color w:val="000000"/>
                <w:sz w:val="20"/>
                <w:szCs w:val="20"/>
              </w:rPr>
              <w:t>12</w:t>
            </w:r>
          </w:p>
        </w:tc>
        <w:tc>
          <w:tcPr>
            <w:tcW w:w="962" w:type="dxa"/>
            <w:tcBorders>
              <w:top w:val="nil"/>
              <w:left w:val="nil"/>
              <w:bottom w:val="single" w:sz="4" w:space="0" w:color="auto"/>
              <w:right w:val="single" w:sz="4" w:space="0" w:color="auto"/>
            </w:tcBorders>
            <w:shd w:val="clear" w:color="auto" w:fill="auto"/>
            <w:noWrap/>
            <w:vAlign w:val="center"/>
            <w:hideMark/>
          </w:tcPr>
          <w:p w14:paraId="53733378"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959,34 </w:t>
            </w:r>
          </w:p>
        </w:tc>
        <w:tc>
          <w:tcPr>
            <w:tcW w:w="1141" w:type="dxa"/>
            <w:tcBorders>
              <w:top w:val="nil"/>
              <w:left w:val="nil"/>
              <w:bottom w:val="single" w:sz="4" w:space="0" w:color="auto"/>
              <w:right w:val="single" w:sz="4" w:space="0" w:color="auto"/>
            </w:tcBorders>
            <w:shd w:val="clear" w:color="auto" w:fill="auto"/>
            <w:noWrap/>
            <w:vAlign w:val="center"/>
            <w:hideMark/>
          </w:tcPr>
          <w:p w14:paraId="058A5698"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11.512,08 </w:t>
            </w:r>
          </w:p>
        </w:tc>
      </w:tr>
      <w:tr w:rsidR="00AD3735" w14:paraId="106A8D2A" w14:textId="77777777" w:rsidTr="00AA18E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E11CF8E" w14:textId="77777777" w:rsidR="00AD3735" w:rsidRDefault="00AD3735">
            <w:pPr>
              <w:jc w:val="center"/>
              <w:rPr>
                <w:rFonts w:ascii="Arial" w:hAnsi="Arial" w:cs="Arial"/>
                <w:color w:val="000000"/>
                <w:sz w:val="20"/>
                <w:szCs w:val="20"/>
              </w:rPr>
            </w:pPr>
            <w:r>
              <w:rPr>
                <w:rFonts w:ascii="Arial" w:hAnsi="Arial" w:cs="Arial"/>
                <w:color w:val="000000"/>
                <w:sz w:val="20"/>
                <w:szCs w:val="20"/>
              </w:rPr>
              <w:t>64</w:t>
            </w:r>
          </w:p>
        </w:tc>
        <w:tc>
          <w:tcPr>
            <w:tcW w:w="993" w:type="dxa"/>
            <w:tcBorders>
              <w:top w:val="nil"/>
              <w:left w:val="nil"/>
              <w:bottom w:val="single" w:sz="4" w:space="0" w:color="auto"/>
              <w:right w:val="single" w:sz="4" w:space="0" w:color="auto"/>
            </w:tcBorders>
            <w:shd w:val="clear" w:color="auto" w:fill="auto"/>
            <w:noWrap/>
            <w:vAlign w:val="center"/>
            <w:hideMark/>
          </w:tcPr>
          <w:p w14:paraId="6C5451F3"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357834</w:t>
            </w:r>
          </w:p>
        </w:tc>
        <w:tc>
          <w:tcPr>
            <w:tcW w:w="7654" w:type="dxa"/>
            <w:tcBorders>
              <w:top w:val="nil"/>
              <w:left w:val="nil"/>
              <w:bottom w:val="single" w:sz="4" w:space="0" w:color="auto"/>
              <w:right w:val="single" w:sz="4" w:space="0" w:color="auto"/>
            </w:tcBorders>
            <w:shd w:val="clear" w:color="auto" w:fill="auto"/>
            <w:vAlign w:val="center"/>
            <w:hideMark/>
          </w:tcPr>
          <w:p w14:paraId="79D8CF89" w14:textId="32593A55" w:rsidR="00AD3735" w:rsidRDefault="00AD3735">
            <w:pPr>
              <w:jc w:val="both"/>
              <w:rPr>
                <w:rFonts w:ascii="Arial" w:hAnsi="Arial" w:cs="Arial"/>
                <w:color w:val="000000"/>
                <w:sz w:val="20"/>
                <w:szCs w:val="20"/>
              </w:rPr>
            </w:pPr>
            <w:r>
              <w:rPr>
                <w:rFonts w:ascii="Arial" w:hAnsi="Arial" w:cs="Arial"/>
                <w:color w:val="000000"/>
                <w:sz w:val="20"/>
                <w:szCs w:val="20"/>
              </w:rPr>
              <w:t xml:space="preserve">cartucho/tonner preto original </w:t>
            </w:r>
            <w:r w:rsidR="00AA18E2">
              <w:rPr>
                <w:rFonts w:ascii="Arial" w:hAnsi="Arial" w:cs="Arial"/>
                <w:color w:val="000000"/>
                <w:sz w:val="20"/>
                <w:szCs w:val="20"/>
              </w:rPr>
              <w:t xml:space="preserve">da impressora HP </w:t>
            </w:r>
            <w:r w:rsidR="00AA18E2" w:rsidRPr="00AA18E2">
              <w:rPr>
                <w:rFonts w:ascii="Arial" w:hAnsi="Arial" w:cs="Arial" w:hint="eastAsia"/>
                <w:color w:val="000000"/>
                <w:sz w:val="20"/>
                <w:szCs w:val="20"/>
              </w:rPr>
              <w:t>Designjet T650-36</w:t>
            </w:r>
            <w:r w:rsidR="00AA18E2">
              <w:rPr>
                <w:rFonts w:ascii="Arial" w:hAnsi="Arial" w:cs="Arial"/>
                <w:color w:val="000000"/>
                <w:sz w:val="20"/>
                <w:szCs w:val="20"/>
              </w:rPr>
              <w:t>, 80ML, Não serão aceitos cartuchos não originais HP por questões relacionadas à garantia.</w:t>
            </w:r>
          </w:p>
        </w:tc>
        <w:tc>
          <w:tcPr>
            <w:tcW w:w="1155" w:type="dxa"/>
            <w:tcBorders>
              <w:top w:val="nil"/>
              <w:left w:val="nil"/>
              <w:bottom w:val="single" w:sz="4" w:space="0" w:color="auto"/>
              <w:right w:val="single" w:sz="4" w:space="0" w:color="auto"/>
            </w:tcBorders>
            <w:shd w:val="clear" w:color="auto" w:fill="auto"/>
            <w:vAlign w:val="center"/>
            <w:hideMark/>
          </w:tcPr>
          <w:p w14:paraId="0D9EA924"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1ACB92FC"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0ED29D46"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40E8441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1.253,00 </w:t>
            </w:r>
          </w:p>
        </w:tc>
        <w:tc>
          <w:tcPr>
            <w:tcW w:w="1141" w:type="dxa"/>
            <w:tcBorders>
              <w:top w:val="nil"/>
              <w:left w:val="nil"/>
              <w:bottom w:val="single" w:sz="4" w:space="0" w:color="auto"/>
              <w:right w:val="single" w:sz="4" w:space="0" w:color="auto"/>
            </w:tcBorders>
            <w:shd w:val="clear" w:color="auto" w:fill="auto"/>
            <w:noWrap/>
            <w:vAlign w:val="center"/>
            <w:hideMark/>
          </w:tcPr>
          <w:p w14:paraId="2989395E"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25.060,00 </w:t>
            </w:r>
          </w:p>
        </w:tc>
      </w:tr>
      <w:tr w:rsidR="00AD3735" w14:paraId="22BE1D08" w14:textId="77777777" w:rsidTr="00AA18E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B638B5" w14:textId="77777777" w:rsidR="00AD3735" w:rsidRDefault="00AD3735">
            <w:pPr>
              <w:jc w:val="center"/>
              <w:rPr>
                <w:rFonts w:ascii="Arial" w:hAnsi="Arial" w:cs="Arial"/>
                <w:color w:val="000000"/>
                <w:sz w:val="20"/>
                <w:szCs w:val="20"/>
              </w:rPr>
            </w:pPr>
            <w:r>
              <w:rPr>
                <w:rFonts w:ascii="Arial" w:hAnsi="Arial" w:cs="Arial"/>
                <w:color w:val="000000"/>
                <w:sz w:val="20"/>
                <w:szCs w:val="20"/>
              </w:rPr>
              <w:t>65</w:t>
            </w:r>
          </w:p>
        </w:tc>
        <w:tc>
          <w:tcPr>
            <w:tcW w:w="993" w:type="dxa"/>
            <w:tcBorders>
              <w:top w:val="nil"/>
              <w:left w:val="nil"/>
              <w:bottom w:val="single" w:sz="4" w:space="0" w:color="auto"/>
              <w:right w:val="single" w:sz="4" w:space="0" w:color="auto"/>
            </w:tcBorders>
            <w:shd w:val="clear" w:color="auto" w:fill="auto"/>
            <w:noWrap/>
            <w:vAlign w:val="center"/>
            <w:hideMark/>
          </w:tcPr>
          <w:p w14:paraId="03AA574B"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357838</w:t>
            </w:r>
          </w:p>
        </w:tc>
        <w:tc>
          <w:tcPr>
            <w:tcW w:w="7654" w:type="dxa"/>
            <w:tcBorders>
              <w:top w:val="nil"/>
              <w:left w:val="nil"/>
              <w:bottom w:val="single" w:sz="4" w:space="0" w:color="auto"/>
              <w:right w:val="single" w:sz="4" w:space="0" w:color="auto"/>
            </w:tcBorders>
            <w:shd w:val="clear" w:color="auto" w:fill="auto"/>
            <w:vAlign w:val="center"/>
            <w:hideMark/>
          </w:tcPr>
          <w:p w14:paraId="38E37C10" w14:textId="398DC792" w:rsidR="00AD3735" w:rsidRDefault="00AD3735">
            <w:pPr>
              <w:jc w:val="both"/>
              <w:rPr>
                <w:rFonts w:ascii="Arial" w:hAnsi="Arial" w:cs="Arial"/>
                <w:color w:val="000000"/>
                <w:sz w:val="20"/>
                <w:szCs w:val="20"/>
              </w:rPr>
            </w:pPr>
            <w:r>
              <w:rPr>
                <w:rFonts w:ascii="Arial" w:hAnsi="Arial" w:cs="Arial"/>
                <w:color w:val="000000"/>
                <w:sz w:val="20"/>
                <w:szCs w:val="20"/>
              </w:rPr>
              <w:t xml:space="preserve">cartucho/tonner colorido na cor ciano </w:t>
            </w:r>
            <w:r w:rsidR="00AA18E2">
              <w:rPr>
                <w:rFonts w:ascii="Arial" w:hAnsi="Arial" w:cs="Arial"/>
                <w:color w:val="000000"/>
                <w:sz w:val="20"/>
                <w:szCs w:val="20"/>
              </w:rPr>
              <w:t xml:space="preserve">original da impressora HP </w:t>
            </w:r>
            <w:r w:rsidR="00AA18E2" w:rsidRPr="00AA18E2">
              <w:rPr>
                <w:rFonts w:ascii="Arial" w:hAnsi="Arial" w:cs="Arial" w:hint="eastAsia"/>
                <w:color w:val="000000"/>
                <w:sz w:val="20"/>
                <w:szCs w:val="20"/>
              </w:rPr>
              <w:t>Designjet T650-36</w:t>
            </w:r>
            <w:r w:rsidR="00AA18E2">
              <w:rPr>
                <w:rFonts w:ascii="Arial" w:hAnsi="Arial" w:cs="Arial"/>
                <w:color w:val="000000"/>
                <w:sz w:val="20"/>
                <w:szCs w:val="20"/>
              </w:rPr>
              <w:t>, 29ML, não serão aceitos cartuchos não originais HP por questões relacionadas à garantia.</w:t>
            </w:r>
          </w:p>
        </w:tc>
        <w:tc>
          <w:tcPr>
            <w:tcW w:w="1155" w:type="dxa"/>
            <w:tcBorders>
              <w:top w:val="nil"/>
              <w:left w:val="nil"/>
              <w:bottom w:val="single" w:sz="4" w:space="0" w:color="auto"/>
              <w:right w:val="single" w:sz="4" w:space="0" w:color="auto"/>
            </w:tcBorders>
            <w:shd w:val="clear" w:color="auto" w:fill="auto"/>
            <w:vAlign w:val="center"/>
            <w:hideMark/>
          </w:tcPr>
          <w:p w14:paraId="0A1B44E9"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532F62FA"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5BF503D5" w14:textId="77777777" w:rsidR="00AD3735" w:rsidRDefault="00AD3735">
            <w:pPr>
              <w:jc w:val="center"/>
              <w:rPr>
                <w:rFonts w:ascii="Arial" w:hAnsi="Arial" w:cs="Arial"/>
                <w:color w:val="000000"/>
                <w:sz w:val="20"/>
                <w:szCs w:val="20"/>
              </w:rPr>
            </w:pPr>
            <w:r>
              <w:rPr>
                <w:rFonts w:ascii="Arial" w:hAnsi="Arial" w:cs="Arial"/>
                <w:color w:val="000000"/>
                <w:sz w:val="20"/>
                <w:szCs w:val="20"/>
              </w:rPr>
              <w:t>12</w:t>
            </w:r>
          </w:p>
        </w:tc>
        <w:tc>
          <w:tcPr>
            <w:tcW w:w="962" w:type="dxa"/>
            <w:tcBorders>
              <w:top w:val="nil"/>
              <w:left w:val="nil"/>
              <w:bottom w:val="single" w:sz="4" w:space="0" w:color="auto"/>
              <w:right w:val="single" w:sz="4" w:space="0" w:color="auto"/>
            </w:tcBorders>
            <w:shd w:val="clear" w:color="auto" w:fill="auto"/>
            <w:noWrap/>
            <w:vAlign w:val="center"/>
            <w:hideMark/>
          </w:tcPr>
          <w:p w14:paraId="61A0FB9C"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1.253,00 </w:t>
            </w:r>
          </w:p>
        </w:tc>
        <w:tc>
          <w:tcPr>
            <w:tcW w:w="1141" w:type="dxa"/>
            <w:tcBorders>
              <w:top w:val="nil"/>
              <w:left w:val="nil"/>
              <w:bottom w:val="single" w:sz="4" w:space="0" w:color="auto"/>
              <w:right w:val="single" w:sz="4" w:space="0" w:color="auto"/>
            </w:tcBorders>
            <w:shd w:val="clear" w:color="auto" w:fill="auto"/>
            <w:noWrap/>
            <w:vAlign w:val="center"/>
            <w:hideMark/>
          </w:tcPr>
          <w:p w14:paraId="77E18BD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15.036,00 </w:t>
            </w:r>
          </w:p>
        </w:tc>
      </w:tr>
      <w:tr w:rsidR="00AD3735" w14:paraId="620DA7B0" w14:textId="77777777" w:rsidTr="00AA18E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26C8DA6" w14:textId="77777777" w:rsidR="00AD3735" w:rsidRDefault="00AD3735">
            <w:pPr>
              <w:jc w:val="center"/>
              <w:rPr>
                <w:rFonts w:ascii="Arial" w:hAnsi="Arial" w:cs="Arial"/>
                <w:color w:val="000000"/>
                <w:sz w:val="20"/>
                <w:szCs w:val="20"/>
              </w:rPr>
            </w:pPr>
            <w:r>
              <w:rPr>
                <w:rFonts w:ascii="Arial" w:hAnsi="Arial" w:cs="Arial"/>
                <w:color w:val="000000"/>
                <w:sz w:val="20"/>
                <w:szCs w:val="20"/>
              </w:rPr>
              <w:t>66</w:t>
            </w:r>
          </w:p>
        </w:tc>
        <w:tc>
          <w:tcPr>
            <w:tcW w:w="993" w:type="dxa"/>
            <w:tcBorders>
              <w:top w:val="nil"/>
              <w:left w:val="nil"/>
              <w:bottom w:val="single" w:sz="4" w:space="0" w:color="auto"/>
              <w:right w:val="single" w:sz="4" w:space="0" w:color="auto"/>
            </w:tcBorders>
            <w:shd w:val="clear" w:color="auto" w:fill="auto"/>
            <w:noWrap/>
            <w:vAlign w:val="center"/>
            <w:hideMark/>
          </w:tcPr>
          <w:p w14:paraId="49832007"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357836</w:t>
            </w:r>
          </w:p>
        </w:tc>
        <w:tc>
          <w:tcPr>
            <w:tcW w:w="7654" w:type="dxa"/>
            <w:tcBorders>
              <w:top w:val="nil"/>
              <w:left w:val="nil"/>
              <w:bottom w:val="single" w:sz="4" w:space="0" w:color="auto"/>
              <w:right w:val="single" w:sz="4" w:space="0" w:color="auto"/>
            </w:tcBorders>
            <w:shd w:val="clear" w:color="auto" w:fill="auto"/>
            <w:vAlign w:val="center"/>
            <w:hideMark/>
          </w:tcPr>
          <w:p w14:paraId="467076CC" w14:textId="40CA5336" w:rsidR="00AD3735" w:rsidRDefault="00AD3735">
            <w:pPr>
              <w:jc w:val="both"/>
              <w:rPr>
                <w:rFonts w:ascii="Arial" w:hAnsi="Arial" w:cs="Arial"/>
                <w:color w:val="000000"/>
                <w:sz w:val="20"/>
                <w:szCs w:val="20"/>
              </w:rPr>
            </w:pPr>
            <w:r>
              <w:rPr>
                <w:rFonts w:ascii="Arial" w:hAnsi="Arial" w:cs="Arial"/>
                <w:color w:val="000000"/>
                <w:sz w:val="20"/>
                <w:szCs w:val="20"/>
              </w:rPr>
              <w:t xml:space="preserve">cartucho/tonner colorido na cor magenta </w:t>
            </w:r>
            <w:r w:rsidR="00AA18E2">
              <w:rPr>
                <w:rFonts w:ascii="Arial" w:hAnsi="Arial" w:cs="Arial"/>
                <w:color w:val="000000"/>
                <w:sz w:val="20"/>
                <w:szCs w:val="20"/>
              </w:rPr>
              <w:t xml:space="preserve">original da impressora HP </w:t>
            </w:r>
            <w:r w:rsidR="00AA18E2" w:rsidRPr="00AA18E2">
              <w:rPr>
                <w:rFonts w:ascii="Arial" w:hAnsi="Arial" w:cs="Arial" w:hint="eastAsia"/>
                <w:color w:val="000000"/>
                <w:sz w:val="20"/>
                <w:szCs w:val="20"/>
              </w:rPr>
              <w:t>Designjet T650-36</w:t>
            </w:r>
            <w:r w:rsidR="00AA18E2">
              <w:rPr>
                <w:rFonts w:ascii="Arial" w:hAnsi="Arial" w:cs="Arial"/>
                <w:color w:val="000000"/>
                <w:sz w:val="20"/>
                <w:szCs w:val="20"/>
              </w:rPr>
              <w:t>, 29ML, não serão aceitos cartuchos não originais HP por questões relacionadas à garantia.</w:t>
            </w:r>
          </w:p>
        </w:tc>
        <w:tc>
          <w:tcPr>
            <w:tcW w:w="1155" w:type="dxa"/>
            <w:tcBorders>
              <w:top w:val="nil"/>
              <w:left w:val="nil"/>
              <w:bottom w:val="single" w:sz="4" w:space="0" w:color="auto"/>
              <w:right w:val="single" w:sz="4" w:space="0" w:color="auto"/>
            </w:tcBorders>
            <w:shd w:val="clear" w:color="auto" w:fill="auto"/>
            <w:vAlign w:val="center"/>
            <w:hideMark/>
          </w:tcPr>
          <w:p w14:paraId="638A4A2C"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4B4C6090"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4C214157" w14:textId="77777777" w:rsidR="00AD3735" w:rsidRDefault="00AD3735">
            <w:pPr>
              <w:jc w:val="center"/>
              <w:rPr>
                <w:rFonts w:ascii="Arial" w:hAnsi="Arial" w:cs="Arial"/>
                <w:color w:val="000000"/>
                <w:sz w:val="20"/>
                <w:szCs w:val="20"/>
              </w:rPr>
            </w:pPr>
            <w:r>
              <w:rPr>
                <w:rFonts w:ascii="Arial" w:hAnsi="Arial" w:cs="Arial"/>
                <w:color w:val="000000"/>
                <w:sz w:val="20"/>
                <w:szCs w:val="20"/>
              </w:rPr>
              <w:t>12</w:t>
            </w:r>
          </w:p>
        </w:tc>
        <w:tc>
          <w:tcPr>
            <w:tcW w:w="962" w:type="dxa"/>
            <w:tcBorders>
              <w:top w:val="nil"/>
              <w:left w:val="nil"/>
              <w:bottom w:val="single" w:sz="4" w:space="0" w:color="auto"/>
              <w:right w:val="single" w:sz="4" w:space="0" w:color="auto"/>
            </w:tcBorders>
            <w:shd w:val="clear" w:color="auto" w:fill="auto"/>
            <w:noWrap/>
            <w:vAlign w:val="center"/>
            <w:hideMark/>
          </w:tcPr>
          <w:p w14:paraId="32D475F5"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1.253,00 </w:t>
            </w:r>
          </w:p>
        </w:tc>
        <w:tc>
          <w:tcPr>
            <w:tcW w:w="1141" w:type="dxa"/>
            <w:tcBorders>
              <w:top w:val="nil"/>
              <w:left w:val="nil"/>
              <w:bottom w:val="single" w:sz="4" w:space="0" w:color="auto"/>
              <w:right w:val="single" w:sz="4" w:space="0" w:color="auto"/>
            </w:tcBorders>
            <w:shd w:val="clear" w:color="auto" w:fill="auto"/>
            <w:noWrap/>
            <w:vAlign w:val="center"/>
            <w:hideMark/>
          </w:tcPr>
          <w:p w14:paraId="1BBDF93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15.036,00 </w:t>
            </w:r>
          </w:p>
        </w:tc>
      </w:tr>
      <w:tr w:rsidR="00AD3735" w14:paraId="5897C739" w14:textId="77777777" w:rsidTr="00AA18E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0E6F171" w14:textId="77777777" w:rsidR="00AD3735" w:rsidRDefault="00AD3735">
            <w:pPr>
              <w:jc w:val="center"/>
              <w:rPr>
                <w:rFonts w:ascii="Arial" w:hAnsi="Arial" w:cs="Arial"/>
                <w:color w:val="000000"/>
                <w:sz w:val="20"/>
                <w:szCs w:val="20"/>
              </w:rPr>
            </w:pPr>
            <w:r>
              <w:rPr>
                <w:rFonts w:ascii="Arial" w:hAnsi="Arial" w:cs="Arial"/>
                <w:color w:val="000000"/>
                <w:sz w:val="20"/>
                <w:szCs w:val="20"/>
              </w:rPr>
              <w:t>67</w:t>
            </w:r>
          </w:p>
        </w:tc>
        <w:tc>
          <w:tcPr>
            <w:tcW w:w="993" w:type="dxa"/>
            <w:tcBorders>
              <w:top w:val="nil"/>
              <w:left w:val="nil"/>
              <w:bottom w:val="single" w:sz="4" w:space="0" w:color="auto"/>
              <w:right w:val="single" w:sz="4" w:space="0" w:color="auto"/>
            </w:tcBorders>
            <w:shd w:val="clear" w:color="auto" w:fill="auto"/>
            <w:noWrap/>
            <w:vAlign w:val="center"/>
            <w:hideMark/>
          </w:tcPr>
          <w:p w14:paraId="76C9421B"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357837</w:t>
            </w:r>
          </w:p>
        </w:tc>
        <w:tc>
          <w:tcPr>
            <w:tcW w:w="7654" w:type="dxa"/>
            <w:tcBorders>
              <w:top w:val="nil"/>
              <w:left w:val="nil"/>
              <w:bottom w:val="single" w:sz="4" w:space="0" w:color="auto"/>
              <w:right w:val="single" w:sz="4" w:space="0" w:color="auto"/>
            </w:tcBorders>
            <w:shd w:val="clear" w:color="auto" w:fill="auto"/>
            <w:vAlign w:val="center"/>
            <w:hideMark/>
          </w:tcPr>
          <w:p w14:paraId="21F9FFA5" w14:textId="33E7FD1C" w:rsidR="00AD3735" w:rsidRDefault="00AD3735">
            <w:pPr>
              <w:jc w:val="both"/>
              <w:rPr>
                <w:rFonts w:ascii="Arial" w:hAnsi="Arial" w:cs="Arial"/>
                <w:color w:val="000000"/>
                <w:sz w:val="20"/>
                <w:szCs w:val="20"/>
              </w:rPr>
            </w:pPr>
            <w:r>
              <w:rPr>
                <w:rFonts w:ascii="Arial" w:hAnsi="Arial" w:cs="Arial"/>
                <w:color w:val="000000"/>
                <w:sz w:val="20"/>
                <w:szCs w:val="20"/>
              </w:rPr>
              <w:t xml:space="preserve">cartucho/tonner colorido na cor amarelo </w:t>
            </w:r>
            <w:r w:rsidR="00AA18E2">
              <w:rPr>
                <w:rFonts w:ascii="Arial" w:hAnsi="Arial" w:cs="Arial"/>
                <w:color w:val="000000"/>
                <w:sz w:val="20"/>
                <w:szCs w:val="20"/>
              </w:rPr>
              <w:t xml:space="preserve">original da impressora HP </w:t>
            </w:r>
            <w:r w:rsidR="00AA18E2" w:rsidRPr="00AA18E2">
              <w:rPr>
                <w:rFonts w:ascii="Arial" w:hAnsi="Arial" w:cs="Arial" w:hint="eastAsia"/>
                <w:color w:val="000000"/>
                <w:sz w:val="20"/>
                <w:szCs w:val="20"/>
              </w:rPr>
              <w:t>Designjet T650-36</w:t>
            </w:r>
            <w:r w:rsidR="00AA18E2">
              <w:rPr>
                <w:rFonts w:ascii="Arial" w:hAnsi="Arial" w:cs="Arial"/>
                <w:color w:val="000000"/>
                <w:sz w:val="20"/>
                <w:szCs w:val="20"/>
              </w:rPr>
              <w:t>, 29ML, não serão aceitos cartuchos não originais HP por questões relacionadas à garantia.</w:t>
            </w:r>
          </w:p>
        </w:tc>
        <w:tc>
          <w:tcPr>
            <w:tcW w:w="1155" w:type="dxa"/>
            <w:tcBorders>
              <w:top w:val="nil"/>
              <w:left w:val="nil"/>
              <w:bottom w:val="single" w:sz="4" w:space="0" w:color="auto"/>
              <w:right w:val="single" w:sz="4" w:space="0" w:color="auto"/>
            </w:tcBorders>
            <w:shd w:val="clear" w:color="auto" w:fill="auto"/>
            <w:vAlign w:val="center"/>
            <w:hideMark/>
          </w:tcPr>
          <w:p w14:paraId="0ED11DE8" w14:textId="77777777" w:rsidR="00AD3735" w:rsidRDefault="00AD3735">
            <w:pPr>
              <w:jc w:val="center"/>
              <w:rPr>
                <w:rFonts w:ascii="Arial" w:hAnsi="Arial" w:cs="Arial"/>
                <w:color w:val="000000"/>
                <w:sz w:val="20"/>
                <w:szCs w:val="20"/>
              </w:rPr>
            </w:pPr>
            <w:r>
              <w:rPr>
                <w:rFonts w:ascii="Arial" w:hAnsi="Arial" w:cs="Arial"/>
                <w:color w:val="000000"/>
                <w:sz w:val="20"/>
                <w:szCs w:val="20"/>
              </w:rPr>
              <w:t>UNIDADE</w:t>
            </w:r>
          </w:p>
        </w:tc>
        <w:tc>
          <w:tcPr>
            <w:tcW w:w="829" w:type="dxa"/>
            <w:tcBorders>
              <w:top w:val="nil"/>
              <w:left w:val="nil"/>
              <w:bottom w:val="single" w:sz="4" w:space="0" w:color="auto"/>
              <w:right w:val="single" w:sz="4" w:space="0" w:color="auto"/>
            </w:tcBorders>
            <w:shd w:val="clear" w:color="auto" w:fill="auto"/>
            <w:noWrap/>
            <w:vAlign w:val="center"/>
            <w:hideMark/>
          </w:tcPr>
          <w:p w14:paraId="07751345"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3170E435" w14:textId="77777777" w:rsidR="00AD3735" w:rsidRDefault="00AD3735">
            <w:pPr>
              <w:jc w:val="center"/>
              <w:rPr>
                <w:rFonts w:ascii="Arial" w:hAnsi="Arial" w:cs="Arial"/>
                <w:color w:val="000000"/>
                <w:sz w:val="20"/>
                <w:szCs w:val="20"/>
              </w:rPr>
            </w:pPr>
            <w:r>
              <w:rPr>
                <w:rFonts w:ascii="Arial" w:hAnsi="Arial" w:cs="Arial"/>
                <w:color w:val="000000"/>
                <w:sz w:val="20"/>
                <w:szCs w:val="20"/>
              </w:rPr>
              <w:t>12</w:t>
            </w:r>
          </w:p>
        </w:tc>
        <w:tc>
          <w:tcPr>
            <w:tcW w:w="962" w:type="dxa"/>
            <w:tcBorders>
              <w:top w:val="nil"/>
              <w:left w:val="nil"/>
              <w:bottom w:val="single" w:sz="4" w:space="0" w:color="auto"/>
              <w:right w:val="single" w:sz="4" w:space="0" w:color="auto"/>
            </w:tcBorders>
            <w:shd w:val="clear" w:color="auto" w:fill="auto"/>
            <w:noWrap/>
            <w:vAlign w:val="center"/>
            <w:hideMark/>
          </w:tcPr>
          <w:p w14:paraId="52EF8A30"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1.253,00 </w:t>
            </w:r>
          </w:p>
        </w:tc>
        <w:tc>
          <w:tcPr>
            <w:tcW w:w="1141" w:type="dxa"/>
            <w:tcBorders>
              <w:top w:val="nil"/>
              <w:left w:val="nil"/>
              <w:bottom w:val="single" w:sz="4" w:space="0" w:color="auto"/>
              <w:right w:val="single" w:sz="4" w:space="0" w:color="auto"/>
            </w:tcBorders>
            <w:shd w:val="clear" w:color="auto" w:fill="auto"/>
            <w:noWrap/>
            <w:vAlign w:val="center"/>
            <w:hideMark/>
          </w:tcPr>
          <w:p w14:paraId="4A95317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15.036,00 </w:t>
            </w:r>
          </w:p>
        </w:tc>
      </w:tr>
      <w:tr w:rsidR="00AD3735" w14:paraId="517548E9"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1C2AE7F" w14:textId="77777777" w:rsidR="00AD3735" w:rsidRDefault="00AD3735">
            <w:pPr>
              <w:jc w:val="center"/>
              <w:rPr>
                <w:rFonts w:ascii="Arial" w:hAnsi="Arial" w:cs="Arial"/>
                <w:color w:val="000000"/>
                <w:sz w:val="20"/>
                <w:szCs w:val="20"/>
              </w:rPr>
            </w:pPr>
            <w:r>
              <w:rPr>
                <w:rFonts w:ascii="Arial" w:hAnsi="Arial" w:cs="Arial"/>
                <w:color w:val="000000"/>
                <w:sz w:val="20"/>
                <w:szCs w:val="20"/>
              </w:rPr>
              <w:t>68</w:t>
            </w:r>
          </w:p>
        </w:tc>
        <w:tc>
          <w:tcPr>
            <w:tcW w:w="993" w:type="dxa"/>
            <w:tcBorders>
              <w:top w:val="nil"/>
              <w:left w:val="nil"/>
              <w:bottom w:val="single" w:sz="4" w:space="0" w:color="auto"/>
              <w:right w:val="single" w:sz="4" w:space="0" w:color="auto"/>
            </w:tcBorders>
            <w:shd w:val="clear" w:color="auto" w:fill="auto"/>
            <w:noWrap/>
            <w:vAlign w:val="center"/>
            <w:hideMark/>
          </w:tcPr>
          <w:p w14:paraId="34AD2158"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467085</w:t>
            </w:r>
          </w:p>
        </w:tc>
        <w:tc>
          <w:tcPr>
            <w:tcW w:w="7654" w:type="dxa"/>
            <w:tcBorders>
              <w:top w:val="nil"/>
              <w:left w:val="nil"/>
              <w:bottom w:val="single" w:sz="4" w:space="0" w:color="auto"/>
              <w:right w:val="single" w:sz="4" w:space="0" w:color="auto"/>
            </w:tcBorders>
            <w:shd w:val="clear" w:color="auto" w:fill="auto"/>
            <w:vAlign w:val="center"/>
            <w:hideMark/>
          </w:tcPr>
          <w:p w14:paraId="70E4F353" w14:textId="77777777" w:rsidR="00AD3735" w:rsidRDefault="00AD3735">
            <w:pPr>
              <w:jc w:val="both"/>
              <w:rPr>
                <w:rFonts w:ascii="Arial" w:hAnsi="Arial" w:cs="Arial"/>
                <w:color w:val="000000"/>
                <w:sz w:val="20"/>
                <w:szCs w:val="20"/>
              </w:rPr>
            </w:pPr>
            <w:r>
              <w:rPr>
                <w:rFonts w:ascii="Arial" w:hAnsi="Arial" w:cs="Arial"/>
                <w:color w:val="000000"/>
                <w:sz w:val="20"/>
                <w:szCs w:val="20"/>
              </w:rPr>
              <w:t>Papel A0 em forma de bobina, para impressão em impressora plotter, bobina com o comprimento de 100m, entre 60 a 280 g/m².</w:t>
            </w:r>
          </w:p>
        </w:tc>
        <w:tc>
          <w:tcPr>
            <w:tcW w:w="1155" w:type="dxa"/>
            <w:tcBorders>
              <w:top w:val="nil"/>
              <w:left w:val="nil"/>
              <w:bottom w:val="single" w:sz="4" w:space="0" w:color="auto"/>
              <w:right w:val="single" w:sz="4" w:space="0" w:color="auto"/>
            </w:tcBorders>
            <w:shd w:val="clear" w:color="auto" w:fill="auto"/>
            <w:vAlign w:val="center"/>
            <w:hideMark/>
          </w:tcPr>
          <w:p w14:paraId="1A57A680" w14:textId="77777777" w:rsidR="00AD3735" w:rsidRDefault="00AD3735">
            <w:pPr>
              <w:jc w:val="center"/>
              <w:rPr>
                <w:rFonts w:ascii="Arial" w:hAnsi="Arial" w:cs="Arial"/>
                <w:color w:val="000000"/>
                <w:sz w:val="20"/>
                <w:szCs w:val="20"/>
              </w:rPr>
            </w:pPr>
            <w:r>
              <w:rPr>
                <w:rFonts w:ascii="Arial" w:hAnsi="Arial" w:cs="Arial"/>
                <w:color w:val="000000"/>
                <w:sz w:val="20"/>
                <w:szCs w:val="20"/>
              </w:rPr>
              <w:t>BOBINA</w:t>
            </w:r>
          </w:p>
        </w:tc>
        <w:tc>
          <w:tcPr>
            <w:tcW w:w="829" w:type="dxa"/>
            <w:tcBorders>
              <w:top w:val="nil"/>
              <w:left w:val="nil"/>
              <w:bottom w:val="single" w:sz="4" w:space="0" w:color="auto"/>
              <w:right w:val="single" w:sz="4" w:space="0" w:color="auto"/>
            </w:tcBorders>
            <w:shd w:val="clear" w:color="auto" w:fill="auto"/>
            <w:noWrap/>
            <w:vAlign w:val="center"/>
            <w:hideMark/>
          </w:tcPr>
          <w:p w14:paraId="2F9B2CFB"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6F1960AA" w14:textId="77777777" w:rsidR="00AD3735" w:rsidRDefault="00AD3735">
            <w:pPr>
              <w:jc w:val="center"/>
              <w:rPr>
                <w:rFonts w:ascii="Arial" w:hAnsi="Arial" w:cs="Arial"/>
                <w:color w:val="000000"/>
                <w:sz w:val="20"/>
                <w:szCs w:val="20"/>
              </w:rPr>
            </w:pPr>
            <w:r>
              <w:rPr>
                <w:rFonts w:ascii="Arial" w:hAnsi="Arial" w:cs="Arial"/>
                <w:color w:val="000000"/>
                <w:sz w:val="20"/>
                <w:szCs w:val="20"/>
              </w:rPr>
              <w:t>20</w:t>
            </w:r>
          </w:p>
        </w:tc>
        <w:tc>
          <w:tcPr>
            <w:tcW w:w="962" w:type="dxa"/>
            <w:tcBorders>
              <w:top w:val="nil"/>
              <w:left w:val="nil"/>
              <w:bottom w:val="single" w:sz="4" w:space="0" w:color="auto"/>
              <w:right w:val="single" w:sz="4" w:space="0" w:color="auto"/>
            </w:tcBorders>
            <w:shd w:val="clear" w:color="auto" w:fill="auto"/>
            <w:noWrap/>
            <w:vAlign w:val="center"/>
            <w:hideMark/>
          </w:tcPr>
          <w:p w14:paraId="3B9E3E89"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198,33 </w:t>
            </w:r>
          </w:p>
        </w:tc>
        <w:tc>
          <w:tcPr>
            <w:tcW w:w="1141" w:type="dxa"/>
            <w:tcBorders>
              <w:top w:val="nil"/>
              <w:left w:val="nil"/>
              <w:bottom w:val="single" w:sz="4" w:space="0" w:color="auto"/>
              <w:right w:val="single" w:sz="4" w:space="0" w:color="auto"/>
            </w:tcBorders>
            <w:shd w:val="clear" w:color="auto" w:fill="auto"/>
            <w:noWrap/>
            <w:vAlign w:val="center"/>
            <w:hideMark/>
          </w:tcPr>
          <w:p w14:paraId="40D1F373"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3.966,60 </w:t>
            </w:r>
          </w:p>
        </w:tc>
      </w:tr>
      <w:tr w:rsidR="00AD3735" w14:paraId="6BE54CCA"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7AED16" w14:textId="77777777" w:rsidR="00AD3735" w:rsidRDefault="00AD3735">
            <w:pPr>
              <w:jc w:val="center"/>
              <w:rPr>
                <w:rFonts w:ascii="Arial" w:hAnsi="Arial" w:cs="Arial"/>
                <w:color w:val="000000"/>
                <w:sz w:val="20"/>
                <w:szCs w:val="20"/>
              </w:rPr>
            </w:pPr>
            <w:r>
              <w:rPr>
                <w:rFonts w:ascii="Arial" w:hAnsi="Arial" w:cs="Arial"/>
                <w:color w:val="000000"/>
                <w:sz w:val="20"/>
                <w:szCs w:val="20"/>
              </w:rPr>
              <w:t>69</w:t>
            </w:r>
          </w:p>
        </w:tc>
        <w:tc>
          <w:tcPr>
            <w:tcW w:w="993" w:type="dxa"/>
            <w:tcBorders>
              <w:top w:val="nil"/>
              <w:left w:val="nil"/>
              <w:bottom w:val="single" w:sz="4" w:space="0" w:color="auto"/>
              <w:right w:val="single" w:sz="4" w:space="0" w:color="auto"/>
            </w:tcBorders>
            <w:shd w:val="clear" w:color="auto" w:fill="auto"/>
            <w:noWrap/>
            <w:vAlign w:val="center"/>
            <w:hideMark/>
          </w:tcPr>
          <w:p w14:paraId="55E621AF"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467085</w:t>
            </w:r>
          </w:p>
        </w:tc>
        <w:tc>
          <w:tcPr>
            <w:tcW w:w="7654" w:type="dxa"/>
            <w:tcBorders>
              <w:top w:val="nil"/>
              <w:left w:val="nil"/>
              <w:bottom w:val="single" w:sz="4" w:space="0" w:color="auto"/>
              <w:right w:val="single" w:sz="4" w:space="0" w:color="auto"/>
            </w:tcBorders>
            <w:shd w:val="clear" w:color="auto" w:fill="auto"/>
            <w:vAlign w:val="center"/>
            <w:hideMark/>
          </w:tcPr>
          <w:p w14:paraId="78A7155B" w14:textId="77777777" w:rsidR="00AD3735" w:rsidRDefault="00AD3735">
            <w:pPr>
              <w:jc w:val="both"/>
              <w:rPr>
                <w:rFonts w:ascii="Arial" w:hAnsi="Arial" w:cs="Arial"/>
                <w:color w:val="000000"/>
                <w:sz w:val="20"/>
                <w:szCs w:val="20"/>
              </w:rPr>
            </w:pPr>
            <w:r>
              <w:rPr>
                <w:rFonts w:ascii="Arial" w:hAnsi="Arial" w:cs="Arial"/>
                <w:color w:val="000000"/>
                <w:sz w:val="20"/>
                <w:szCs w:val="20"/>
              </w:rPr>
              <w:t>Papel A1 em forma de bobina, para impressão em impressora plotter, bobina com o comprimento de 100m, entre 60 a 280 g/m².</w:t>
            </w:r>
          </w:p>
        </w:tc>
        <w:tc>
          <w:tcPr>
            <w:tcW w:w="1155" w:type="dxa"/>
            <w:tcBorders>
              <w:top w:val="nil"/>
              <w:left w:val="nil"/>
              <w:bottom w:val="single" w:sz="4" w:space="0" w:color="auto"/>
              <w:right w:val="single" w:sz="4" w:space="0" w:color="auto"/>
            </w:tcBorders>
            <w:shd w:val="clear" w:color="auto" w:fill="auto"/>
            <w:vAlign w:val="center"/>
            <w:hideMark/>
          </w:tcPr>
          <w:p w14:paraId="3CEB3BA5" w14:textId="77777777" w:rsidR="00AD3735" w:rsidRDefault="00AD3735">
            <w:pPr>
              <w:jc w:val="center"/>
              <w:rPr>
                <w:rFonts w:ascii="Arial" w:hAnsi="Arial" w:cs="Arial"/>
                <w:color w:val="000000"/>
                <w:sz w:val="20"/>
                <w:szCs w:val="20"/>
              </w:rPr>
            </w:pPr>
            <w:r>
              <w:rPr>
                <w:rFonts w:ascii="Arial" w:hAnsi="Arial" w:cs="Arial"/>
                <w:color w:val="000000"/>
                <w:sz w:val="20"/>
                <w:szCs w:val="20"/>
              </w:rPr>
              <w:t>BOBINA</w:t>
            </w:r>
          </w:p>
        </w:tc>
        <w:tc>
          <w:tcPr>
            <w:tcW w:w="829" w:type="dxa"/>
            <w:tcBorders>
              <w:top w:val="nil"/>
              <w:left w:val="nil"/>
              <w:bottom w:val="single" w:sz="4" w:space="0" w:color="auto"/>
              <w:right w:val="single" w:sz="4" w:space="0" w:color="auto"/>
            </w:tcBorders>
            <w:shd w:val="clear" w:color="auto" w:fill="auto"/>
            <w:noWrap/>
            <w:vAlign w:val="center"/>
            <w:hideMark/>
          </w:tcPr>
          <w:p w14:paraId="275BFEE3"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0F4E0B0E" w14:textId="77777777" w:rsidR="00AD3735" w:rsidRDefault="00AD3735">
            <w:pPr>
              <w:jc w:val="center"/>
              <w:rPr>
                <w:rFonts w:ascii="Arial" w:hAnsi="Arial" w:cs="Arial"/>
                <w:color w:val="000000"/>
                <w:sz w:val="20"/>
                <w:szCs w:val="20"/>
              </w:rPr>
            </w:pPr>
            <w:r>
              <w:rPr>
                <w:rFonts w:ascii="Arial" w:hAnsi="Arial" w:cs="Arial"/>
                <w:color w:val="000000"/>
                <w:sz w:val="20"/>
                <w:szCs w:val="20"/>
              </w:rPr>
              <w:t>8</w:t>
            </w:r>
          </w:p>
        </w:tc>
        <w:tc>
          <w:tcPr>
            <w:tcW w:w="962" w:type="dxa"/>
            <w:tcBorders>
              <w:top w:val="nil"/>
              <w:left w:val="nil"/>
              <w:bottom w:val="single" w:sz="4" w:space="0" w:color="auto"/>
              <w:right w:val="single" w:sz="4" w:space="0" w:color="auto"/>
            </w:tcBorders>
            <w:shd w:val="clear" w:color="auto" w:fill="auto"/>
            <w:noWrap/>
            <w:vAlign w:val="center"/>
            <w:hideMark/>
          </w:tcPr>
          <w:p w14:paraId="400AE19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122,70 </w:t>
            </w:r>
          </w:p>
        </w:tc>
        <w:tc>
          <w:tcPr>
            <w:tcW w:w="1141" w:type="dxa"/>
            <w:tcBorders>
              <w:top w:val="nil"/>
              <w:left w:val="nil"/>
              <w:bottom w:val="single" w:sz="4" w:space="0" w:color="auto"/>
              <w:right w:val="single" w:sz="4" w:space="0" w:color="auto"/>
            </w:tcBorders>
            <w:shd w:val="clear" w:color="auto" w:fill="auto"/>
            <w:noWrap/>
            <w:vAlign w:val="center"/>
            <w:hideMark/>
          </w:tcPr>
          <w:p w14:paraId="7C7D3EF6"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981,60 </w:t>
            </w:r>
          </w:p>
        </w:tc>
      </w:tr>
      <w:tr w:rsidR="00AD3735" w14:paraId="556E6529"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BFD11A" w14:textId="77777777" w:rsidR="00AD3735" w:rsidRDefault="00AD3735">
            <w:pPr>
              <w:jc w:val="center"/>
              <w:rPr>
                <w:rFonts w:ascii="Arial" w:hAnsi="Arial" w:cs="Arial"/>
                <w:color w:val="000000"/>
                <w:sz w:val="20"/>
                <w:szCs w:val="20"/>
              </w:rPr>
            </w:pPr>
            <w:r>
              <w:rPr>
                <w:rFonts w:ascii="Arial" w:hAnsi="Arial" w:cs="Arial"/>
                <w:color w:val="000000"/>
                <w:sz w:val="20"/>
                <w:szCs w:val="20"/>
              </w:rPr>
              <w:t>70</w:t>
            </w:r>
          </w:p>
        </w:tc>
        <w:tc>
          <w:tcPr>
            <w:tcW w:w="993" w:type="dxa"/>
            <w:tcBorders>
              <w:top w:val="nil"/>
              <w:left w:val="nil"/>
              <w:bottom w:val="single" w:sz="4" w:space="0" w:color="auto"/>
              <w:right w:val="single" w:sz="4" w:space="0" w:color="auto"/>
            </w:tcBorders>
            <w:shd w:val="clear" w:color="auto" w:fill="auto"/>
            <w:noWrap/>
            <w:vAlign w:val="center"/>
            <w:hideMark/>
          </w:tcPr>
          <w:p w14:paraId="17C5A5B2"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467085</w:t>
            </w:r>
          </w:p>
        </w:tc>
        <w:tc>
          <w:tcPr>
            <w:tcW w:w="7654" w:type="dxa"/>
            <w:tcBorders>
              <w:top w:val="nil"/>
              <w:left w:val="nil"/>
              <w:bottom w:val="single" w:sz="4" w:space="0" w:color="auto"/>
              <w:right w:val="single" w:sz="4" w:space="0" w:color="auto"/>
            </w:tcBorders>
            <w:shd w:val="clear" w:color="auto" w:fill="auto"/>
            <w:vAlign w:val="center"/>
            <w:hideMark/>
          </w:tcPr>
          <w:p w14:paraId="14724993" w14:textId="77777777" w:rsidR="00AD3735" w:rsidRDefault="00AD3735">
            <w:pPr>
              <w:jc w:val="both"/>
              <w:rPr>
                <w:rFonts w:ascii="Arial" w:hAnsi="Arial" w:cs="Arial"/>
                <w:color w:val="000000"/>
                <w:sz w:val="20"/>
                <w:szCs w:val="20"/>
              </w:rPr>
            </w:pPr>
            <w:r>
              <w:rPr>
                <w:rFonts w:ascii="Arial" w:hAnsi="Arial" w:cs="Arial"/>
                <w:color w:val="000000"/>
                <w:sz w:val="20"/>
                <w:szCs w:val="20"/>
              </w:rPr>
              <w:t>Papel A2 em forma de bobina, para impressão em impressora plotter, bobina com o comprimento de 100m, entre 60 a 280 g/m².</w:t>
            </w:r>
          </w:p>
        </w:tc>
        <w:tc>
          <w:tcPr>
            <w:tcW w:w="1155" w:type="dxa"/>
            <w:tcBorders>
              <w:top w:val="nil"/>
              <w:left w:val="nil"/>
              <w:bottom w:val="single" w:sz="4" w:space="0" w:color="auto"/>
              <w:right w:val="single" w:sz="4" w:space="0" w:color="auto"/>
            </w:tcBorders>
            <w:shd w:val="clear" w:color="auto" w:fill="auto"/>
            <w:vAlign w:val="center"/>
            <w:hideMark/>
          </w:tcPr>
          <w:p w14:paraId="7F7D50CF" w14:textId="77777777" w:rsidR="00AD3735" w:rsidRDefault="00AD3735">
            <w:pPr>
              <w:jc w:val="center"/>
              <w:rPr>
                <w:rFonts w:ascii="Arial" w:hAnsi="Arial" w:cs="Arial"/>
                <w:color w:val="000000"/>
                <w:sz w:val="20"/>
                <w:szCs w:val="20"/>
              </w:rPr>
            </w:pPr>
            <w:r>
              <w:rPr>
                <w:rFonts w:ascii="Arial" w:hAnsi="Arial" w:cs="Arial"/>
                <w:color w:val="000000"/>
                <w:sz w:val="20"/>
                <w:szCs w:val="20"/>
              </w:rPr>
              <w:t>BOBINA</w:t>
            </w:r>
          </w:p>
        </w:tc>
        <w:tc>
          <w:tcPr>
            <w:tcW w:w="829" w:type="dxa"/>
            <w:tcBorders>
              <w:top w:val="nil"/>
              <w:left w:val="nil"/>
              <w:bottom w:val="single" w:sz="4" w:space="0" w:color="auto"/>
              <w:right w:val="single" w:sz="4" w:space="0" w:color="auto"/>
            </w:tcBorders>
            <w:shd w:val="clear" w:color="auto" w:fill="auto"/>
            <w:noWrap/>
            <w:vAlign w:val="center"/>
            <w:hideMark/>
          </w:tcPr>
          <w:p w14:paraId="05920F30"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4F5D4CD3" w14:textId="77777777" w:rsidR="00AD3735" w:rsidRDefault="00AD3735">
            <w:pPr>
              <w:jc w:val="center"/>
              <w:rPr>
                <w:rFonts w:ascii="Arial" w:hAnsi="Arial" w:cs="Arial"/>
                <w:color w:val="000000"/>
                <w:sz w:val="20"/>
                <w:szCs w:val="20"/>
              </w:rPr>
            </w:pPr>
            <w:r>
              <w:rPr>
                <w:rFonts w:ascii="Arial" w:hAnsi="Arial" w:cs="Arial"/>
                <w:color w:val="000000"/>
                <w:sz w:val="20"/>
                <w:szCs w:val="20"/>
              </w:rPr>
              <w:t>8</w:t>
            </w:r>
          </w:p>
        </w:tc>
        <w:tc>
          <w:tcPr>
            <w:tcW w:w="962" w:type="dxa"/>
            <w:tcBorders>
              <w:top w:val="nil"/>
              <w:left w:val="nil"/>
              <w:bottom w:val="single" w:sz="4" w:space="0" w:color="auto"/>
              <w:right w:val="single" w:sz="4" w:space="0" w:color="auto"/>
            </w:tcBorders>
            <w:shd w:val="clear" w:color="auto" w:fill="auto"/>
            <w:noWrap/>
            <w:vAlign w:val="center"/>
            <w:hideMark/>
          </w:tcPr>
          <w:p w14:paraId="495910D2"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97,04 </w:t>
            </w:r>
          </w:p>
        </w:tc>
        <w:tc>
          <w:tcPr>
            <w:tcW w:w="1141" w:type="dxa"/>
            <w:tcBorders>
              <w:top w:val="nil"/>
              <w:left w:val="nil"/>
              <w:bottom w:val="single" w:sz="4" w:space="0" w:color="auto"/>
              <w:right w:val="single" w:sz="4" w:space="0" w:color="auto"/>
            </w:tcBorders>
            <w:shd w:val="clear" w:color="auto" w:fill="auto"/>
            <w:noWrap/>
            <w:vAlign w:val="center"/>
            <w:hideMark/>
          </w:tcPr>
          <w:p w14:paraId="78E71DC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776,32 </w:t>
            </w:r>
          </w:p>
        </w:tc>
      </w:tr>
      <w:tr w:rsidR="00AD3735" w14:paraId="51CE52E3" w14:textId="77777777" w:rsidTr="0017033F">
        <w:trPr>
          <w:trHeight w:val="5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2BB821" w14:textId="77777777" w:rsidR="00AD3735" w:rsidRDefault="00AD3735">
            <w:pPr>
              <w:jc w:val="center"/>
              <w:rPr>
                <w:rFonts w:ascii="Arial" w:hAnsi="Arial" w:cs="Arial"/>
                <w:color w:val="000000"/>
                <w:sz w:val="20"/>
                <w:szCs w:val="20"/>
              </w:rPr>
            </w:pPr>
            <w:r>
              <w:rPr>
                <w:rFonts w:ascii="Arial" w:hAnsi="Arial" w:cs="Arial"/>
                <w:color w:val="000000"/>
                <w:sz w:val="20"/>
                <w:szCs w:val="20"/>
              </w:rPr>
              <w:t>71</w:t>
            </w:r>
          </w:p>
        </w:tc>
        <w:tc>
          <w:tcPr>
            <w:tcW w:w="993" w:type="dxa"/>
            <w:tcBorders>
              <w:top w:val="nil"/>
              <w:left w:val="nil"/>
              <w:bottom w:val="single" w:sz="4" w:space="0" w:color="auto"/>
              <w:right w:val="single" w:sz="4" w:space="0" w:color="auto"/>
            </w:tcBorders>
            <w:shd w:val="clear" w:color="auto" w:fill="auto"/>
            <w:noWrap/>
            <w:vAlign w:val="center"/>
            <w:hideMark/>
          </w:tcPr>
          <w:p w14:paraId="3343827C" w14:textId="77777777" w:rsidR="00AD3735" w:rsidRPr="00A94DA9" w:rsidRDefault="00AD3735">
            <w:pPr>
              <w:jc w:val="center"/>
              <w:rPr>
                <w:rFonts w:ascii="Arial" w:hAnsi="Arial" w:cs="Arial"/>
                <w:color w:val="000000"/>
                <w:sz w:val="20"/>
                <w:szCs w:val="20"/>
              </w:rPr>
            </w:pPr>
            <w:r w:rsidRPr="00A94DA9">
              <w:rPr>
                <w:rFonts w:ascii="Arial" w:hAnsi="Arial" w:cs="Arial"/>
                <w:color w:val="000000"/>
                <w:sz w:val="20"/>
                <w:szCs w:val="20"/>
              </w:rPr>
              <w:t>467085</w:t>
            </w:r>
          </w:p>
        </w:tc>
        <w:tc>
          <w:tcPr>
            <w:tcW w:w="7654" w:type="dxa"/>
            <w:tcBorders>
              <w:top w:val="nil"/>
              <w:left w:val="nil"/>
              <w:bottom w:val="single" w:sz="4" w:space="0" w:color="auto"/>
              <w:right w:val="single" w:sz="4" w:space="0" w:color="auto"/>
            </w:tcBorders>
            <w:shd w:val="clear" w:color="auto" w:fill="auto"/>
            <w:vAlign w:val="center"/>
            <w:hideMark/>
          </w:tcPr>
          <w:p w14:paraId="3FF1A73D" w14:textId="77777777" w:rsidR="00AD3735" w:rsidRDefault="00AD3735">
            <w:pPr>
              <w:jc w:val="both"/>
              <w:rPr>
                <w:rFonts w:ascii="Arial" w:hAnsi="Arial" w:cs="Arial"/>
                <w:color w:val="000000"/>
                <w:sz w:val="20"/>
                <w:szCs w:val="20"/>
              </w:rPr>
            </w:pPr>
            <w:r>
              <w:rPr>
                <w:rFonts w:ascii="Arial" w:hAnsi="Arial" w:cs="Arial"/>
                <w:color w:val="000000"/>
                <w:sz w:val="20"/>
                <w:szCs w:val="20"/>
              </w:rPr>
              <w:t>Papel A3 em forma de bobina, para impressão em impressora plotter, bobina com o comprimento de 100m, entre 60 a 280 g/m².</w:t>
            </w:r>
          </w:p>
        </w:tc>
        <w:tc>
          <w:tcPr>
            <w:tcW w:w="1155" w:type="dxa"/>
            <w:tcBorders>
              <w:top w:val="nil"/>
              <w:left w:val="nil"/>
              <w:bottom w:val="single" w:sz="4" w:space="0" w:color="auto"/>
              <w:right w:val="single" w:sz="4" w:space="0" w:color="auto"/>
            </w:tcBorders>
            <w:shd w:val="clear" w:color="auto" w:fill="auto"/>
            <w:vAlign w:val="center"/>
            <w:hideMark/>
          </w:tcPr>
          <w:p w14:paraId="34A9A0FC" w14:textId="77777777" w:rsidR="00AD3735" w:rsidRDefault="00AD3735">
            <w:pPr>
              <w:jc w:val="center"/>
              <w:rPr>
                <w:rFonts w:ascii="Arial" w:hAnsi="Arial" w:cs="Arial"/>
                <w:color w:val="000000"/>
                <w:sz w:val="20"/>
                <w:szCs w:val="20"/>
              </w:rPr>
            </w:pPr>
            <w:r>
              <w:rPr>
                <w:rFonts w:ascii="Arial" w:hAnsi="Arial" w:cs="Arial"/>
                <w:color w:val="000000"/>
                <w:sz w:val="20"/>
                <w:szCs w:val="20"/>
              </w:rPr>
              <w:t>BOBINA</w:t>
            </w:r>
          </w:p>
        </w:tc>
        <w:tc>
          <w:tcPr>
            <w:tcW w:w="829" w:type="dxa"/>
            <w:tcBorders>
              <w:top w:val="nil"/>
              <w:left w:val="nil"/>
              <w:bottom w:val="single" w:sz="4" w:space="0" w:color="auto"/>
              <w:right w:val="single" w:sz="4" w:space="0" w:color="auto"/>
            </w:tcBorders>
            <w:shd w:val="clear" w:color="auto" w:fill="auto"/>
            <w:noWrap/>
            <w:vAlign w:val="center"/>
            <w:hideMark/>
          </w:tcPr>
          <w:p w14:paraId="6A91A482" w14:textId="77777777" w:rsidR="00AD3735" w:rsidRDefault="00AD3735">
            <w:pPr>
              <w:jc w:val="center"/>
              <w:rPr>
                <w:rFonts w:ascii="Arial" w:hAnsi="Arial" w:cs="Arial"/>
                <w:color w:val="000000"/>
                <w:sz w:val="20"/>
                <w:szCs w:val="20"/>
              </w:rPr>
            </w:pPr>
            <w:r>
              <w:rPr>
                <w:rFonts w:ascii="Arial" w:hAnsi="Arial" w:cs="Arial"/>
                <w:color w:val="000000"/>
                <w:sz w:val="20"/>
                <w:szCs w:val="20"/>
              </w:rPr>
              <w:t>1</w:t>
            </w:r>
          </w:p>
        </w:tc>
        <w:tc>
          <w:tcPr>
            <w:tcW w:w="696" w:type="dxa"/>
            <w:tcBorders>
              <w:top w:val="nil"/>
              <w:left w:val="nil"/>
              <w:bottom w:val="single" w:sz="4" w:space="0" w:color="auto"/>
              <w:right w:val="single" w:sz="4" w:space="0" w:color="auto"/>
            </w:tcBorders>
            <w:shd w:val="clear" w:color="auto" w:fill="auto"/>
            <w:noWrap/>
            <w:vAlign w:val="center"/>
            <w:hideMark/>
          </w:tcPr>
          <w:p w14:paraId="7060FB92" w14:textId="77777777" w:rsidR="00AD3735" w:rsidRDefault="00AD3735">
            <w:pPr>
              <w:jc w:val="center"/>
              <w:rPr>
                <w:rFonts w:ascii="Arial" w:hAnsi="Arial" w:cs="Arial"/>
                <w:color w:val="000000"/>
                <w:sz w:val="20"/>
                <w:szCs w:val="20"/>
              </w:rPr>
            </w:pPr>
            <w:r>
              <w:rPr>
                <w:rFonts w:ascii="Arial" w:hAnsi="Arial" w:cs="Arial"/>
                <w:color w:val="000000"/>
                <w:sz w:val="20"/>
                <w:szCs w:val="20"/>
              </w:rPr>
              <w:t>8</w:t>
            </w:r>
          </w:p>
        </w:tc>
        <w:tc>
          <w:tcPr>
            <w:tcW w:w="962" w:type="dxa"/>
            <w:tcBorders>
              <w:top w:val="nil"/>
              <w:left w:val="nil"/>
              <w:bottom w:val="single" w:sz="4" w:space="0" w:color="auto"/>
              <w:right w:val="single" w:sz="4" w:space="0" w:color="auto"/>
            </w:tcBorders>
            <w:shd w:val="clear" w:color="auto" w:fill="auto"/>
            <w:noWrap/>
            <w:vAlign w:val="center"/>
            <w:hideMark/>
          </w:tcPr>
          <w:p w14:paraId="53A002E7"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75,50 </w:t>
            </w:r>
          </w:p>
        </w:tc>
        <w:tc>
          <w:tcPr>
            <w:tcW w:w="1141" w:type="dxa"/>
            <w:tcBorders>
              <w:top w:val="nil"/>
              <w:left w:val="nil"/>
              <w:bottom w:val="single" w:sz="4" w:space="0" w:color="auto"/>
              <w:right w:val="single" w:sz="4" w:space="0" w:color="auto"/>
            </w:tcBorders>
            <w:shd w:val="clear" w:color="auto" w:fill="auto"/>
            <w:noWrap/>
            <w:vAlign w:val="center"/>
            <w:hideMark/>
          </w:tcPr>
          <w:p w14:paraId="3C9C434A" w14:textId="77777777" w:rsidR="00AD3735" w:rsidRDefault="00AD3735">
            <w:pPr>
              <w:jc w:val="center"/>
              <w:rPr>
                <w:rFonts w:ascii="Arial" w:hAnsi="Arial" w:cs="Arial"/>
                <w:color w:val="000000"/>
                <w:sz w:val="20"/>
                <w:szCs w:val="20"/>
              </w:rPr>
            </w:pPr>
            <w:r>
              <w:rPr>
                <w:rFonts w:ascii="Arial" w:hAnsi="Arial" w:cs="Arial"/>
                <w:color w:val="000000"/>
                <w:sz w:val="20"/>
                <w:szCs w:val="20"/>
              </w:rPr>
              <w:t xml:space="preserve"> R$            604,00 </w:t>
            </w:r>
          </w:p>
        </w:tc>
      </w:tr>
      <w:tr w:rsidR="00AD3735" w14:paraId="4C22D893" w14:textId="77777777" w:rsidTr="00AD3735">
        <w:trPr>
          <w:trHeight w:val="300"/>
        </w:trPr>
        <w:tc>
          <w:tcPr>
            <w:tcW w:w="12851" w:type="dxa"/>
            <w:gridSpan w:val="7"/>
            <w:tcBorders>
              <w:top w:val="nil"/>
              <w:left w:val="single" w:sz="4" w:space="0" w:color="auto"/>
              <w:bottom w:val="single" w:sz="4" w:space="0" w:color="auto"/>
              <w:right w:val="single" w:sz="4" w:space="0" w:color="auto"/>
            </w:tcBorders>
            <w:shd w:val="clear" w:color="000000" w:fill="BFBFBF"/>
            <w:noWrap/>
            <w:vAlign w:val="bottom"/>
            <w:hideMark/>
          </w:tcPr>
          <w:p w14:paraId="734EA29B" w14:textId="77777777" w:rsidR="00AD3735" w:rsidRDefault="00AD3735">
            <w:pPr>
              <w:jc w:val="center"/>
              <w:rPr>
                <w:rFonts w:ascii="Arial" w:hAnsi="Arial" w:cs="Arial"/>
                <w:b/>
                <w:bCs/>
                <w:color w:val="000000"/>
                <w:sz w:val="20"/>
                <w:szCs w:val="20"/>
              </w:rPr>
            </w:pPr>
            <w:r>
              <w:rPr>
                <w:rFonts w:ascii="Arial" w:hAnsi="Arial" w:cs="Arial"/>
                <w:b/>
                <w:bCs/>
                <w:color w:val="000000"/>
                <w:sz w:val="20"/>
                <w:szCs w:val="20"/>
              </w:rPr>
              <w:t>Valor total</w:t>
            </w:r>
          </w:p>
        </w:tc>
        <w:tc>
          <w:tcPr>
            <w:tcW w:w="1141" w:type="dxa"/>
            <w:tcBorders>
              <w:top w:val="nil"/>
              <w:left w:val="nil"/>
              <w:bottom w:val="single" w:sz="4" w:space="0" w:color="auto"/>
              <w:right w:val="single" w:sz="4" w:space="0" w:color="auto"/>
            </w:tcBorders>
            <w:shd w:val="clear" w:color="auto" w:fill="auto"/>
            <w:noWrap/>
            <w:vAlign w:val="bottom"/>
            <w:hideMark/>
          </w:tcPr>
          <w:p w14:paraId="2AC113D7" w14:textId="77777777" w:rsidR="00AD3735" w:rsidRDefault="00AD3735">
            <w:pPr>
              <w:rPr>
                <w:rFonts w:ascii="Arial" w:hAnsi="Arial" w:cs="Arial"/>
                <w:b/>
                <w:bCs/>
                <w:color w:val="000000"/>
                <w:sz w:val="20"/>
                <w:szCs w:val="20"/>
              </w:rPr>
            </w:pPr>
            <w:r>
              <w:rPr>
                <w:rFonts w:ascii="Arial" w:hAnsi="Arial" w:cs="Arial"/>
                <w:b/>
                <w:bCs/>
                <w:color w:val="000000"/>
                <w:sz w:val="20"/>
                <w:szCs w:val="20"/>
              </w:rPr>
              <w:t xml:space="preserve"> R$      488.687,44 </w:t>
            </w:r>
          </w:p>
        </w:tc>
      </w:tr>
    </w:tbl>
    <w:p w14:paraId="6AD637B8" w14:textId="77777777" w:rsidR="002F0A51" w:rsidRDefault="002F0A51" w:rsidP="002F0A51">
      <w:pPr>
        <w:pStyle w:val="Nivel2"/>
        <w:numPr>
          <w:ilvl w:val="0"/>
          <w:numId w:val="0"/>
        </w:numPr>
        <w:rPr>
          <w:b/>
          <w:bCs/>
        </w:rPr>
        <w:sectPr w:rsidR="002F0A51" w:rsidSect="009605C0">
          <w:headerReference w:type="default" r:id="rId16"/>
          <w:footerReference w:type="default" r:id="rId17"/>
          <w:pgSz w:w="16838" w:h="11906" w:orient="landscape" w:code="9"/>
          <w:pgMar w:top="1134" w:right="1418" w:bottom="993" w:left="1418" w:header="709" w:footer="709" w:gutter="0"/>
          <w:cols w:space="708"/>
          <w:docGrid w:linePitch="360"/>
        </w:sectPr>
      </w:pPr>
    </w:p>
    <w:p w14:paraId="14B3027B" w14:textId="1A7E8EEE" w:rsidR="00020B6C" w:rsidRDefault="00020B6C" w:rsidP="0084242C">
      <w:pPr>
        <w:pStyle w:val="Nivel2"/>
      </w:pPr>
      <w:commentRangeStart w:id="3"/>
      <w:r w:rsidRPr="0020168A">
        <w:lastRenderedPageBreak/>
        <w:t>Os bens objeto desta contratação são caracterizados como comuns, conforme justificativa constante do Estudo Técnico Preliminar.</w:t>
      </w:r>
      <w:commentRangeEnd w:id="3"/>
      <w:r w:rsidRPr="0020168A">
        <w:rPr>
          <w:rStyle w:val="Refdecomentrio"/>
          <w:color w:val="auto"/>
        </w:rPr>
        <w:commentReference w:id="3"/>
      </w:r>
    </w:p>
    <w:p w14:paraId="6FC0A928" w14:textId="787AA904" w:rsidR="006D5FA5" w:rsidRPr="0020168A" w:rsidRDefault="006D5FA5" w:rsidP="0084242C">
      <w:pPr>
        <w:pStyle w:val="Nivel2"/>
      </w:pPr>
      <w:commentRangeStart w:id="4"/>
      <w:r w:rsidRPr="0020168A">
        <w:t>O objeto desta contratação não se enquadra como sendo de bem de luxo, conforme Decreto nº 10.818, de 27 de setembro de 2021.</w:t>
      </w:r>
      <w:commentRangeEnd w:id="4"/>
      <w:r w:rsidR="00825882" w:rsidRPr="0020168A">
        <w:rPr>
          <w:rStyle w:val="Refdecomentrio"/>
          <w:color w:val="auto"/>
        </w:rPr>
        <w:commentReference w:id="4"/>
      </w:r>
    </w:p>
    <w:p w14:paraId="36F04486" w14:textId="309067F0" w:rsidR="006D5FA5" w:rsidRPr="002F0A51" w:rsidRDefault="006D5FA5" w:rsidP="0084242C">
      <w:pPr>
        <w:pStyle w:val="Nvel2-Red"/>
        <w:rPr>
          <w:i w:val="0"/>
          <w:iCs w:val="0"/>
          <w:color w:val="auto"/>
        </w:rPr>
      </w:pPr>
      <w:r w:rsidRPr="002F0A51">
        <w:rPr>
          <w:i w:val="0"/>
          <w:iCs w:val="0"/>
          <w:color w:val="auto"/>
        </w:rPr>
        <w:t xml:space="preserve">O prazo de vigência da contratação é de </w:t>
      </w:r>
      <w:r w:rsidR="002F0A51" w:rsidRPr="002F0A51">
        <w:rPr>
          <w:i w:val="0"/>
          <w:iCs w:val="0"/>
          <w:color w:val="auto"/>
        </w:rPr>
        <w:t>12 meses</w:t>
      </w:r>
      <w:r w:rsidRPr="002F0A51">
        <w:rPr>
          <w:i w:val="0"/>
          <w:iCs w:val="0"/>
          <w:color w:val="auto"/>
        </w:rPr>
        <w:t xml:space="preserve"> contados</w:t>
      </w:r>
      <w:r w:rsidR="002F0A51" w:rsidRPr="002F0A51">
        <w:rPr>
          <w:i w:val="0"/>
          <w:iCs w:val="0"/>
          <w:color w:val="auto"/>
        </w:rPr>
        <w:t xml:space="preserve"> da</w:t>
      </w:r>
      <w:r w:rsidRPr="002F0A51">
        <w:rPr>
          <w:i w:val="0"/>
          <w:iCs w:val="0"/>
          <w:color w:val="auto"/>
        </w:rPr>
        <w:t xml:space="preserve"> </w:t>
      </w:r>
      <w:r w:rsidR="002F0A51" w:rsidRPr="002F0A51">
        <w:rPr>
          <w:i w:val="0"/>
          <w:iCs w:val="0"/>
          <w:color w:val="auto"/>
        </w:rPr>
        <w:t>publicação da ata de registro de preços no PNCP</w:t>
      </w:r>
      <w:r w:rsidRPr="002F0A51">
        <w:rPr>
          <w:i w:val="0"/>
          <w:iCs w:val="0"/>
          <w:color w:val="auto"/>
        </w:rPr>
        <w:t>, na forma do artigo 105 da Lei n° 14.133, de 2021.</w:t>
      </w:r>
    </w:p>
    <w:p w14:paraId="44169698" w14:textId="77777777" w:rsidR="006D5FA5" w:rsidRPr="002F0A51" w:rsidRDefault="006D5FA5" w:rsidP="0084242C">
      <w:pPr>
        <w:pStyle w:val="Nivel2"/>
        <w:rPr>
          <w:color w:val="auto"/>
        </w:rPr>
      </w:pPr>
      <w:r w:rsidRPr="002F0A51">
        <w:rPr>
          <w:color w:val="auto"/>
        </w:rPr>
        <w:t>O contrato oferece maior detalhamento das regras que serão aplicadas em relação à vigência da contratação.</w:t>
      </w:r>
    </w:p>
    <w:p w14:paraId="32A59EDB" w14:textId="77777777" w:rsidR="006D5FA5" w:rsidRPr="0020168A" w:rsidRDefault="006D5FA5" w:rsidP="00DA3EF1">
      <w:pPr>
        <w:pStyle w:val="Nivel01"/>
      </w:pPr>
      <w:r w:rsidRPr="0020168A">
        <w:t>FUNDAMENTAÇÃO E DESCRIÇÃO DA NECESSIDADE DA CONTRATAÇÃO</w:t>
      </w:r>
    </w:p>
    <w:p w14:paraId="16CC009E" w14:textId="77777777" w:rsidR="006D5FA5" w:rsidRPr="0020168A" w:rsidRDefault="006D5FA5" w:rsidP="0084242C">
      <w:pPr>
        <w:pStyle w:val="Nivel2"/>
      </w:pPr>
      <w:commentRangeStart w:id="5"/>
      <w:r w:rsidRPr="0020168A">
        <w:t>A Fundamentação da Contratação e de seus quantitativos encontra-se pormenorizada em Tópico específico dos Estudos Técnicos Preliminares, apêndice deste Termo de Referência.</w:t>
      </w:r>
      <w:commentRangeEnd w:id="5"/>
      <w:r w:rsidR="0048396A" w:rsidRPr="0020168A">
        <w:rPr>
          <w:rStyle w:val="Refdecomentrio"/>
          <w:color w:val="auto"/>
        </w:rPr>
        <w:commentReference w:id="5"/>
      </w:r>
    </w:p>
    <w:p w14:paraId="6063DC73" w14:textId="798F4F27" w:rsidR="006D5FA5" w:rsidRPr="0020168A" w:rsidRDefault="006D5FA5" w:rsidP="0084242C">
      <w:pPr>
        <w:pStyle w:val="Nivel2"/>
      </w:pPr>
      <w:r w:rsidRPr="1A3EFEDC">
        <w:t>O objeto da contratação está previsto no Plano de Contratações Anual</w:t>
      </w:r>
      <w:r w:rsidR="006E3033">
        <w:t xml:space="preserve"> 2024</w:t>
      </w:r>
      <w:r w:rsidRPr="1A3EFEDC">
        <w:t>, conforme detalhamento a seguir:</w:t>
      </w:r>
    </w:p>
    <w:p w14:paraId="720D152B" w14:textId="7D63B88C" w:rsidR="006D5FA5" w:rsidRPr="006E3033" w:rsidRDefault="006D5FA5" w:rsidP="00881F44">
      <w:pPr>
        <w:pStyle w:val="Nivel3"/>
        <w:numPr>
          <w:ilvl w:val="0"/>
          <w:numId w:val="16"/>
        </w:numPr>
        <w:ind w:left="284" w:firstLine="0"/>
        <w:rPr>
          <w:color w:val="auto"/>
        </w:rPr>
      </w:pPr>
      <w:r w:rsidRPr="60CBE1EE">
        <w:t xml:space="preserve">ID PCA no PNCP: </w:t>
      </w:r>
      <w:r w:rsidR="006E3033" w:rsidRPr="006E3033">
        <w:rPr>
          <w:color w:val="auto"/>
        </w:rPr>
        <w:t>00394452000103-0-000223/2024</w:t>
      </w:r>
      <w:r w:rsidR="00881F44" w:rsidRPr="006E3033">
        <w:rPr>
          <w:color w:val="auto"/>
        </w:rPr>
        <w:t>;</w:t>
      </w:r>
    </w:p>
    <w:p w14:paraId="7AF21A50" w14:textId="69155489" w:rsidR="006D5FA5" w:rsidRPr="006E3033" w:rsidRDefault="006D5FA5" w:rsidP="00881F44">
      <w:pPr>
        <w:pStyle w:val="Nivel3"/>
        <w:numPr>
          <w:ilvl w:val="0"/>
          <w:numId w:val="16"/>
        </w:numPr>
        <w:ind w:left="284" w:firstLine="0"/>
        <w:rPr>
          <w:color w:val="auto"/>
        </w:rPr>
      </w:pPr>
      <w:r w:rsidRPr="006E3033">
        <w:rPr>
          <w:color w:val="auto"/>
        </w:rPr>
        <w:t xml:space="preserve">Data de publicação no PNCP: </w:t>
      </w:r>
      <w:r w:rsidR="006E3033" w:rsidRPr="006E3033">
        <w:rPr>
          <w:color w:val="auto"/>
        </w:rPr>
        <w:t>20/05/2023</w:t>
      </w:r>
      <w:r w:rsidR="00881F44" w:rsidRPr="006E3033">
        <w:rPr>
          <w:color w:val="auto"/>
        </w:rPr>
        <w:t>;</w:t>
      </w:r>
    </w:p>
    <w:p w14:paraId="34E86D78" w14:textId="0989BAA2" w:rsidR="006D5FA5" w:rsidRPr="006E3033" w:rsidRDefault="006D5FA5" w:rsidP="00881F44">
      <w:pPr>
        <w:pStyle w:val="Nivel3"/>
        <w:numPr>
          <w:ilvl w:val="0"/>
          <w:numId w:val="16"/>
        </w:numPr>
        <w:ind w:left="284" w:firstLine="0"/>
        <w:rPr>
          <w:color w:val="auto"/>
        </w:rPr>
      </w:pPr>
      <w:r w:rsidRPr="006E3033">
        <w:rPr>
          <w:color w:val="auto"/>
        </w:rPr>
        <w:t>Id do item no PCA:</w:t>
      </w:r>
      <w:r w:rsidR="006E3033" w:rsidRPr="006E3033">
        <w:rPr>
          <w:color w:val="auto"/>
        </w:rPr>
        <w:t xml:space="preserve"> 595, 596, 597 ao 665</w:t>
      </w:r>
      <w:r w:rsidR="00881F44" w:rsidRPr="006E3033">
        <w:rPr>
          <w:color w:val="auto"/>
        </w:rPr>
        <w:t>;</w:t>
      </w:r>
    </w:p>
    <w:p w14:paraId="53BC588E" w14:textId="2F4B97BC" w:rsidR="006D5FA5" w:rsidRPr="006E3033" w:rsidRDefault="006D5FA5" w:rsidP="00881F44">
      <w:pPr>
        <w:pStyle w:val="Nivel3"/>
        <w:numPr>
          <w:ilvl w:val="0"/>
          <w:numId w:val="16"/>
        </w:numPr>
        <w:ind w:left="284" w:firstLine="0"/>
        <w:rPr>
          <w:color w:val="auto"/>
        </w:rPr>
      </w:pPr>
      <w:r w:rsidRPr="006E3033">
        <w:rPr>
          <w:color w:val="auto"/>
        </w:rPr>
        <w:t xml:space="preserve">Classe/Grupo: </w:t>
      </w:r>
      <w:r w:rsidR="006E3033" w:rsidRPr="006E3033">
        <w:rPr>
          <w:color w:val="auto"/>
        </w:rPr>
        <w:t xml:space="preserve">5120, 5935, 6625, 5640, 3439, 6110, 6150, 6145, 5110, 5920, 9330, 7510, 3439, 7060, 3460, 3610; </w:t>
      </w:r>
    </w:p>
    <w:p w14:paraId="7B9E0FC2" w14:textId="0D611CB0" w:rsidR="006D5FA5" w:rsidRPr="006E3033" w:rsidRDefault="006D5FA5" w:rsidP="00881F44">
      <w:pPr>
        <w:pStyle w:val="Nivel3"/>
        <w:numPr>
          <w:ilvl w:val="0"/>
          <w:numId w:val="16"/>
        </w:numPr>
        <w:ind w:left="284" w:firstLine="0"/>
        <w:rPr>
          <w:color w:val="auto"/>
        </w:rPr>
      </w:pPr>
      <w:r w:rsidRPr="006E3033">
        <w:rPr>
          <w:color w:val="auto"/>
        </w:rPr>
        <w:t xml:space="preserve">Identificador da Futura Contratação: </w:t>
      </w:r>
      <w:r w:rsidR="006E3033" w:rsidRPr="006E3033">
        <w:rPr>
          <w:color w:val="auto"/>
        </w:rPr>
        <w:t>160303 – 90002/2023</w:t>
      </w:r>
      <w:r w:rsidR="00881F44" w:rsidRPr="006E3033">
        <w:rPr>
          <w:color w:val="auto"/>
        </w:rPr>
        <w:t>.</w:t>
      </w:r>
    </w:p>
    <w:p w14:paraId="79CF6CF3" w14:textId="77777777" w:rsidR="006D5FA5" w:rsidRPr="0020168A" w:rsidRDefault="006D5FA5" w:rsidP="00DA3EF1">
      <w:pPr>
        <w:pStyle w:val="Nivel01"/>
      </w:pPr>
      <w:r>
        <w:t>DESCRIÇÃO DA SOLUÇÃO COMO UM TODO CONSIDERADO O CICLO DE VIDA DO OBJETO E ESPECIFICAÇÃO DO PRODUTO</w:t>
      </w:r>
    </w:p>
    <w:p w14:paraId="2593A0A3" w14:textId="77777777" w:rsidR="006D5FA5" w:rsidRPr="002F0A51" w:rsidRDefault="006D5FA5" w:rsidP="0084242C">
      <w:pPr>
        <w:pStyle w:val="Nvel2-Red"/>
        <w:rPr>
          <w:i w:val="0"/>
          <w:iCs w:val="0"/>
          <w:color w:val="auto"/>
        </w:rPr>
      </w:pPr>
      <w:commentRangeStart w:id="6"/>
      <w:r w:rsidRPr="002F0A51">
        <w:rPr>
          <w:i w:val="0"/>
          <w:iCs w:val="0"/>
          <w:color w:val="auto"/>
        </w:rPr>
        <w:t>A descrição da solução como um todo encontra-se pormenorizada em tópico específico dos Estudos Técnicos Preliminares, apêndice deste Termo de Referência.</w:t>
      </w:r>
      <w:commentRangeEnd w:id="6"/>
      <w:r w:rsidRPr="002F0A51">
        <w:rPr>
          <w:i w:val="0"/>
          <w:iCs w:val="0"/>
          <w:color w:val="auto"/>
        </w:rPr>
        <w:commentReference w:id="6"/>
      </w:r>
    </w:p>
    <w:p w14:paraId="38F0C2D3" w14:textId="77777777" w:rsidR="006D5FA5" w:rsidRPr="0020168A" w:rsidRDefault="006D5FA5" w:rsidP="00DA3EF1">
      <w:pPr>
        <w:pStyle w:val="Nivel01"/>
      </w:pPr>
      <w:commentRangeStart w:id="7"/>
      <w:r>
        <w:t>REQUISITOS DA CONTRATAÇÃO</w:t>
      </w:r>
      <w:commentRangeEnd w:id="7"/>
      <w:r>
        <w:commentReference w:id="7"/>
      </w:r>
    </w:p>
    <w:p w14:paraId="2615839A" w14:textId="77777777" w:rsidR="006D5FA5" w:rsidRPr="0020168A" w:rsidRDefault="006D5FA5" w:rsidP="00871456">
      <w:pPr>
        <w:pStyle w:val="Nvel1-SemNumPreto"/>
      </w:pPr>
      <w:r w:rsidRPr="0020168A">
        <w:t>Sustentabilidade:</w:t>
      </w:r>
    </w:p>
    <w:p w14:paraId="22667799" w14:textId="77777777" w:rsidR="006D5FA5" w:rsidRPr="0020168A" w:rsidRDefault="006D5FA5" w:rsidP="0084242C">
      <w:pPr>
        <w:pStyle w:val="Nivel2"/>
        <w:rPr>
          <w:shd w:val="clear" w:color="auto" w:fill="FFFFFF"/>
        </w:rPr>
      </w:pPr>
      <w:commentRangeStart w:id="8"/>
      <w:r w:rsidRPr="60CBE1EE">
        <w:t>Além dos critérios de sustentabilidade eventualmente inseridos na descrição do objeto, devem ser atendidos os seguintes requisitos, que se baseiam no Guia Nacional de Contratações Sustentáveis:</w:t>
      </w:r>
    </w:p>
    <w:p w14:paraId="5F9FA73D" w14:textId="019E5583" w:rsidR="005D263A" w:rsidRPr="005D263A" w:rsidRDefault="005D263A" w:rsidP="00D55C32">
      <w:pPr>
        <w:pStyle w:val="Nvel3-R"/>
      </w:pPr>
      <w:r w:rsidRPr="005D263A">
        <w:t>Só será admitida a oferta de bem de informática e/ou automação que cumpra os critérios de segurança, compatibilidade eletromagnética e eficiência energética, previstos na Portaria nº 170, de 2012 do INMETRO.</w:t>
      </w:r>
    </w:p>
    <w:p w14:paraId="5006FB74" w14:textId="70D57017" w:rsidR="006D5FA5" w:rsidRPr="005D263A" w:rsidRDefault="005D263A" w:rsidP="00D55C32">
      <w:pPr>
        <w:pStyle w:val="Nvel3-R"/>
        <w:rPr>
          <w:shd w:val="clear" w:color="auto" w:fill="FFFFFF"/>
        </w:rPr>
      </w:pPr>
      <w:r w:rsidRPr="005D263A">
        <w:t>Só será admitida a oferta de bens de informática e/ou automação que não contenham substâncias perigosas em concentração acima da recomendada na diretiva RoHS (Restriction of Certain Hazardous Substances), tais como mercúrio (Hg), chumbo (Pb), cromo hexavalente (Cr (VI)), cádmio (Cd), bifenil polibromados (PBBs), éteres difenil-polibromados (PBDEs</w:t>
      </w:r>
      <w:r>
        <w:t>)</w:t>
      </w:r>
      <w:r w:rsidR="006D5FA5" w:rsidRPr="005D263A">
        <w:t>.</w:t>
      </w:r>
    </w:p>
    <w:commentRangeEnd w:id="8"/>
    <w:p w14:paraId="36E966EF" w14:textId="1BD22D66" w:rsidR="006D5FA5" w:rsidRPr="005D263A" w:rsidRDefault="006D5FA5" w:rsidP="00D55C32">
      <w:pPr>
        <w:pStyle w:val="Nvel3-R"/>
        <w:numPr>
          <w:ilvl w:val="0"/>
          <w:numId w:val="0"/>
        </w:numPr>
        <w:ind w:left="284"/>
        <w:rPr>
          <w:shd w:val="clear" w:color="auto" w:fill="FFFFFF"/>
        </w:rPr>
      </w:pPr>
      <w:r>
        <w:commentReference w:id="8"/>
      </w:r>
    </w:p>
    <w:p w14:paraId="6756BB43" w14:textId="77777777" w:rsidR="006D5FA5" w:rsidRPr="00FF6925" w:rsidRDefault="006D5FA5" w:rsidP="00881F44">
      <w:pPr>
        <w:pStyle w:val="Nvel1-SemNumPreto"/>
      </w:pPr>
      <w:r w:rsidRPr="00FF6925">
        <w:t>Subcontratação</w:t>
      </w:r>
    </w:p>
    <w:p w14:paraId="055AEFCE" w14:textId="77777777" w:rsidR="006D5FA5" w:rsidRPr="0020168A" w:rsidRDefault="006D5FA5" w:rsidP="0084242C">
      <w:pPr>
        <w:pStyle w:val="Nivel2"/>
      </w:pPr>
      <w:commentRangeStart w:id="9"/>
      <w:r w:rsidRPr="60CBE1EE">
        <w:t>Não é admitida a subcontratação do objeto contratual.</w:t>
      </w:r>
      <w:commentRangeEnd w:id="9"/>
      <w:r>
        <w:commentReference w:id="9"/>
      </w:r>
    </w:p>
    <w:p w14:paraId="1D9C7561" w14:textId="64A52C1B" w:rsidR="006D5FA5" w:rsidRPr="0020168A" w:rsidRDefault="2C18D6AD" w:rsidP="00881F44">
      <w:pPr>
        <w:pStyle w:val="Nvel1-SemNumPreto"/>
      </w:pPr>
      <w:commentRangeStart w:id="10"/>
      <w:r w:rsidRPr="3053D07F">
        <w:lastRenderedPageBreak/>
        <w:t>Garantia da contratação</w:t>
      </w:r>
      <w:commentRangeEnd w:id="10"/>
      <w:r w:rsidR="00921A92">
        <w:rPr>
          <w:rStyle w:val="Refdecomentrio"/>
          <w:rFonts w:ascii="Ecofont_Spranq_eco_Sans" w:eastAsiaTheme="minorEastAsia" w:hAnsi="Ecofont_Spranq_eco_Sans" w:cs="Tahoma"/>
          <w:b w:val="0"/>
          <w:bCs w:val="0"/>
        </w:rPr>
        <w:commentReference w:id="10"/>
      </w:r>
    </w:p>
    <w:p w14:paraId="164FC2D0" w14:textId="2138425E" w:rsidR="006D5FA5" w:rsidRPr="005D263A" w:rsidRDefault="006D5FA5" w:rsidP="0084242C">
      <w:pPr>
        <w:pStyle w:val="Nvel2-Red"/>
        <w:rPr>
          <w:i w:val="0"/>
          <w:iCs w:val="0"/>
          <w:color w:val="auto"/>
        </w:rPr>
      </w:pPr>
      <w:r w:rsidRPr="005D263A">
        <w:rPr>
          <w:i w:val="0"/>
          <w:iCs w:val="0"/>
          <w:color w:val="auto"/>
        </w:rPr>
        <w:t xml:space="preserve">Não haverá exigência da garantia da contratação dos </w:t>
      </w:r>
      <w:hyperlink r:id="rId18" w:anchor="art96">
        <w:r w:rsidRPr="005D263A">
          <w:rPr>
            <w:rStyle w:val="Hyperlink"/>
            <w:i w:val="0"/>
            <w:iCs w:val="0"/>
            <w:color w:val="auto"/>
          </w:rPr>
          <w:t>artigos 96 e seguintes da Lei nº 14.133, de 2021</w:t>
        </w:r>
      </w:hyperlink>
      <w:r w:rsidR="005D263A">
        <w:rPr>
          <w:i w:val="0"/>
          <w:iCs w:val="0"/>
          <w:color w:val="auto"/>
        </w:rPr>
        <w:t>.</w:t>
      </w:r>
    </w:p>
    <w:p w14:paraId="58CF1D52" w14:textId="5990DAE5" w:rsidR="006D5FA5" w:rsidRPr="0020168A" w:rsidRDefault="006D5FA5" w:rsidP="00DA3EF1">
      <w:pPr>
        <w:pStyle w:val="Nivel01"/>
      </w:pPr>
      <w:commentRangeStart w:id="11"/>
      <w:r>
        <w:t>MODELO DE EXECUÇÃO DO OBJETO</w:t>
      </w:r>
      <w:commentRangeEnd w:id="11"/>
      <w:r>
        <w:rPr>
          <w:rStyle w:val="Refdecomentrio"/>
        </w:rPr>
        <w:commentReference w:id="11"/>
      </w:r>
    </w:p>
    <w:p w14:paraId="770BF0CD" w14:textId="77777777" w:rsidR="006D5FA5" w:rsidRPr="005D263A" w:rsidRDefault="006D5FA5" w:rsidP="00881F44">
      <w:pPr>
        <w:pStyle w:val="Nvel1-SemNum"/>
        <w:rPr>
          <w:color w:val="auto"/>
        </w:rPr>
      </w:pPr>
      <w:r w:rsidRPr="005D263A">
        <w:rPr>
          <w:color w:val="auto"/>
        </w:rPr>
        <w:t>Condições de Entrega</w:t>
      </w:r>
    </w:p>
    <w:p w14:paraId="2021D977" w14:textId="17D5307C" w:rsidR="006D5FA5" w:rsidRPr="005D263A" w:rsidRDefault="006D5FA5" w:rsidP="0084242C">
      <w:pPr>
        <w:pStyle w:val="Nvel2-Red"/>
        <w:rPr>
          <w:i w:val="0"/>
          <w:iCs w:val="0"/>
          <w:color w:val="auto"/>
        </w:rPr>
      </w:pPr>
      <w:r w:rsidRPr="005D263A">
        <w:rPr>
          <w:i w:val="0"/>
          <w:iCs w:val="0"/>
          <w:color w:val="auto"/>
        </w:rPr>
        <w:t xml:space="preserve">O prazo de entrega dos bens é de </w:t>
      </w:r>
      <w:r w:rsidR="005D263A" w:rsidRPr="005D263A">
        <w:rPr>
          <w:i w:val="0"/>
          <w:iCs w:val="0"/>
          <w:color w:val="auto"/>
        </w:rPr>
        <w:t>30</w:t>
      </w:r>
      <w:r w:rsidRPr="005D263A">
        <w:rPr>
          <w:i w:val="0"/>
          <w:iCs w:val="0"/>
          <w:color w:val="auto"/>
        </w:rPr>
        <w:t xml:space="preserve"> dias, contados </w:t>
      </w:r>
      <w:r w:rsidR="005D263A" w:rsidRPr="005D263A">
        <w:rPr>
          <w:i w:val="0"/>
          <w:iCs w:val="0"/>
          <w:color w:val="auto"/>
        </w:rPr>
        <w:t>do recebimento da nota de empenho ou termo de contrato</w:t>
      </w:r>
      <w:r w:rsidRPr="005D263A">
        <w:rPr>
          <w:i w:val="0"/>
          <w:iCs w:val="0"/>
          <w:color w:val="auto"/>
        </w:rPr>
        <w:t xml:space="preserve"> em remessa única. </w:t>
      </w:r>
    </w:p>
    <w:p w14:paraId="32E329B2" w14:textId="39306CE8" w:rsidR="006D5FA5" w:rsidRPr="005D263A" w:rsidRDefault="006D5FA5" w:rsidP="0084242C">
      <w:pPr>
        <w:pStyle w:val="Nvel2-Red"/>
        <w:rPr>
          <w:i w:val="0"/>
          <w:iCs w:val="0"/>
          <w:color w:val="auto"/>
        </w:rPr>
      </w:pPr>
      <w:r w:rsidRPr="005D263A">
        <w:rPr>
          <w:i w:val="0"/>
          <w:iCs w:val="0"/>
          <w:color w:val="auto"/>
        </w:rPr>
        <w:t xml:space="preserve">Caso não seja possível a entrega na data assinalada, a empresa deverá comunicar as razões respectivas com pelo menos </w:t>
      </w:r>
      <w:r w:rsidR="005D263A" w:rsidRPr="005D263A">
        <w:rPr>
          <w:i w:val="0"/>
          <w:iCs w:val="0"/>
          <w:color w:val="auto"/>
        </w:rPr>
        <w:t>10</w:t>
      </w:r>
      <w:r w:rsidRPr="005D263A">
        <w:rPr>
          <w:i w:val="0"/>
          <w:iCs w:val="0"/>
          <w:color w:val="auto"/>
        </w:rPr>
        <w:t xml:space="preserve"> dias de antecedência para que qualquer pleito de prorrogação de prazo seja analisado, ressalvadas situações de caso fortuito e força maior.</w:t>
      </w:r>
    </w:p>
    <w:p w14:paraId="4FC34F7B" w14:textId="72A37E0D" w:rsidR="006D5FA5" w:rsidRPr="0020168A" w:rsidRDefault="006D5FA5" w:rsidP="0084242C">
      <w:pPr>
        <w:pStyle w:val="Nivel2"/>
      </w:pPr>
      <w:r>
        <w:t xml:space="preserve">Os bens deverão ser entregues no seguinte endereço </w:t>
      </w:r>
      <w:r w:rsidR="005D263A" w:rsidRPr="00A1512C">
        <w:rPr>
          <w:rFonts w:hint="eastAsia"/>
        </w:rPr>
        <w:t>Praça Duque de Caxias, nr 25 – Ala Marcílio Dias, térreo – Centro – Rio de janeiro – RJ – CEP: 20220-260</w:t>
      </w:r>
    </w:p>
    <w:p w14:paraId="66D0F148" w14:textId="4D4FDD7E" w:rsidR="006D5FA5" w:rsidRPr="005D263A" w:rsidRDefault="006D5FA5" w:rsidP="0084242C">
      <w:pPr>
        <w:pStyle w:val="Nvel2-Red"/>
        <w:rPr>
          <w:i w:val="0"/>
          <w:iCs w:val="0"/>
          <w:color w:val="auto"/>
        </w:rPr>
      </w:pPr>
      <w:r w:rsidRPr="005D263A">
        <w:rPr>
          <w:i w:val="0"/>
          <w:iCs w:val="0"/>
          <w:color w:val="auto"/>
        </w:rPr>
        <w:t xml:space="preserve">No caso de produtos perecíveis, o prazo de validade na data da entrega não poderá ser inferior </w:t>
      </w:r>
      <w:r w:rsidR="005D263A" w:rsidRPr="005D263A">
        <w:rPr>
          <w:i w:val="0"/>
          <w:iCs w:val="0"/>
          <w:color w:val="auto"/>
        </w:rPr>
        <w:t xml:space="preserve">a </w:t>
      </w:r>
      <w:r w:rsidRPr="005D263A">
        <w:rPr>
          <w:i w:val="0"/>
          <w:iCs w:val="0"/>
          <w:color w:val="auto"/>
        </w:rPr>
        <w:t>metade do prazo total recomendado pelo fabricante.</w:t>
      </w:r>
    </w:p>
    <w:p w14:paraId="4AF7833D" w14:textId="2B24939C" w:rsidR="006D5FA5" w:rsidRPr="005D263A" w:rsidRDefault="34FC2301" w:rsidP="00881F44">
      <w:pPr>
        <w:pStyle w:val="Nvel1-SemNumPreto"/>
      </w:pPr>
      <w:commentRangeStart w:id="12"/>
      <w:r w:rsidRPr="005D263A">
        <w:t>Garantia, manutenção e assistência técnica</w:t>
      </w:r>
      <w:commentRangeEnd w:id="12"/>
      <w:r w:rsidR="006D5FA5" w:rsidRPr="005D263A">
        <w:commentReference w:id="12"/>
      </w:r>
    </w:p>
    <w:p w14:paraId="26D22943" w14:textId="09C33098" w:rsidR="34FC2301" w:rsidRPr="005D263A" w:rsidRDefault="34FC2301" w:rsidP="0084242C">
      <w:pPr>
        <w:pStyle w:val="Nvel2-Red"/>
        <w:rPr>
          <w:i w:val="0"/>
          <w:iCs w:val="0"/>
          <w:color w:val="auto"/>
        </w:rPr>
      </w:pPr>
      <w:commentRangeStart w:id="13"/>
      <w:r w:rsidRPr="005D263A">
        <w:rPr>
          <w:i w:val="0"/>
          <w:iCs w:val="0"/>
          <w:color w:val="auto"/>
        </w:rPr>
        <w:t>O prazo de garantia é aquele estabelecido na Lei nº 8.078, de 11 de setembro de 1990 (Código de Defesa do Consumidor)</w:t>
      </w:r>
      <w:commentRangeEnd w:id="13"/>
      <w:r w:rsidRPr="005D263A">
        <w:rPr>
          <w:i w:val="0"/>
          <w:iCs w:val="0"/>
          <w:color w:val="auto"/>
        </w:rPr>
        <w:commentReference w:id="13"/>
      </w:r>
    </w:p>
    <w:p w14:paraId="29C1E85C" w14:textId="77777777" w:rsidR="006D5FA5" w:rsidRPr="0020168A" w:rsidRDefault="006D5FA5" w:rsidP="00DA3EF1">
      <w:pPr>
        <w:pStyle w:val="Nivel01"/>
      </w:pPr>
      <w:r>
        <w:t>MODELO DE GESTÃO DO CONTRATO</w:t>
      </w:r>
    </w:p>
    <w:p w14:paraId="0EFBC859" w14:textId="77777777" w:rsidR="006D5FA5" w:rsidRPr="0020168A" w:rsidRDefault="006D5FA5" w:rsidP="0084242C">
      <w:pPr>
        <w:pStyle w:val="Nivel2"/>
      </w:pPr>
      <w:r w:rsidRPr="60CBE1EE">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20168A" w:rsidRDefault="006D5FA5" w:rsidP="0084242C">
      <w:pPr>
        <w:pStyle w:val="Nivel2"/>
      </w:pPr>
      <w:r>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20168A" w:rsidRDefault="006D5FA5" w:rsidP="0084242C">
      <w:pPr>
        <w:pStyle w:val="Nivel2"/>
      </w:pPr>
      <w:r>
        <w:t>As comunicações entre o órgão ou entidade e a contratada devem ser realizadas por escrito sempre que o ato exigir tal formalidade, admitindo-se o uso de mensagem eletrônica para esse fim.</w:t>
      </w:r>
    </w:p>
    <w:p w14:paraId="55FA4D75" w14:textId="1B5CC0E7" w:rsidR="006D5FA5" w:rsidRDefault="006D5FA5" w:rsidP="0084242C">
      <w:pPr>
        <w:pStyle w:val="Nivel2"/>
      </w:pPr>
      <w:r>
        <w:t>O órgão ou entidade poderá convocar representante da empresa para adoção de providências que devam ser cumpridas de imediato.</w:t>
      </w:r>
    </w:p>
    <w:p w14:paraId="35715153" w14:textId="3DEA0FE7" w:rsidR="3D7DE8D5" w:rsidRDefault="3D7DE8D5" w:rsidP="0084242C">
      <w:pPr>
        <w:pStyle w:val="Nivel2"/>
      </w:pPr>
      <w:r>
        <w:t xml:space="preserve"> </w:t>
      </w:r>
      <w:r w:rsidRPr="00C86172">
        <w:t>Após a assinatura do contrato ou instrumento equivalente</w:t>
      </w:r>
      <w:r w:rsidRPr="00C86172">
        <w:rPr>
          <w:strike/>
        </w:rPr>
        <w:t>,</w:t>
      </w:r>
      <w:r w:rsidRPr="00C8617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t>.</w:t>
      </w:r>
    </w:p>
    <w:p w14:paraId="55492701" w14:textId="4A84CF2D" w:rsidR="06F66482" w:rsidRDefault="06F66482" w:rsidP="0084242C">
      <w:pPr>
        <w:pStyle w:val="Nivel2"/>
        <w:numPr>
          <w:ilvl w:val="0"/>
          <w:numId w:val="0"/>
        </w:numPr>
      </w:pPr>
      <w:r w:rsidRPr="4C199FC9">
        <w:t>Fiscalização</w:t>
      </w:r>
    </w:p>
    <w:p w14:paraId="4C0495AC" w14:textId="640941E8" w:rsidR="006D5FA5" w:rsidRPr="0020168A" w:rsidRDefault="006D5FA5" w:rsidP="0084242C">
      <w:pPr>
        <w:pStyle w:val="Nivel2"/>
      </w:pPr>
      <w:commentRangeStart w:id="14"/>
      <w:r>
        <w:t>A execução do contrato deverá ser acompanhada e fiscalizada pelo(s) fiscal(is) do contrato, ou pelos respectivos substitutos (</w:t>
      </w:r>
      <w:hyperlink r:id="rId19" w:anchor="art117">
        <w:r w:rsidRPr="4C199FC9">
          <w:rPr>
            <w:rStyle w:val="Hyperlink"/>
          </w:rPr>
          <w:t>Lei nº 14.133, de 2021, art. 117, caput</w:t>
        </w:r>
      </w:hyperlink>
      <w:r>
        <w:t>).</w:t>
      </w:r>
    </w:p>
    <w:p w14:paraId="0E810685" w14:textId="1B529F08" w:rsidR="51E44459" w:rsidRDefault="51E44459" w:rsidP="00881F44">
      <w:pPr>
        <w:pStyle w:val="Nvel1-SemNumPreto"/>
      </w:pPr>
      <w:r w:rsidRPr="4C199FC9">
        <w:t>Fiscalização Técnica</w:t>
      </w:r>
    </w:p>
    <w:p w14:paraId="6F5BEBC1" w14:textId="77777777" w:rsidR="006D5FA5" w:rsidRPr="0020168A" w:rsidRDefault="006D5FA5" w:rsidP="0084242C">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20168A" w:rsidRDefault="006D5FA5" w:rsidP="005D30B6">
      <w:pPr>
        <w:pStyle w:val="Nivel3"/>
      </w:pPr>
      <w:r>
        <w:lastRenderedPageBreak/>
        <w:t>O fiscal técnico do contrato anotará no histórico de gerenciamento do contrato todas as ocorrências relacionadas à execução do contrato, com a descrição do que for necessário para a regularização das faltas ou dos defeitos observados. (</w:t>
      </w:r>
      <w:hyperlink r:id="rId20" w:anchor="art117§1">
        <w:r w:rsidRPr="4C199FC9">
          <w:rPr>
            <w:rStyle w:val="Hyperlink"/>
          </w:rPr>
          <w:t>Lei nº 14.133, de 2021, art. 117, §1º</w:t>
        </w:r>
      </w:hyperlink>
      <w:r>
        <w:t xml:space="preserve">, e </w:t>
      </w:r>
      <w:hyperlink r:id="rId21" w:anchor="art22">
        <w:r w:rsidRPr="4C199FC9">
          <w:rPr>
            <w:rStyle w:val="Hyperlink"/>
          </w:rPr>
          <w:t>Decreto nº 11.246, de 2022, art. 22, II);</w:t>
        </w:r>
      </w:hyperlink>
      <w:commentRangeEnd w:id="14"/>
      <w:r>
        <w:commentReference w:id="14"/>
      </w:r>
    </w:p>
    <w:p w14:paraId="51798605" w14:textId="4AF690AA" w:rsidR="006D5FA5" w:rsidRPr="0020168A" w:rsidRDefault="006D5FA5" w:rsidP="005D30B6">
      <w:pPr>
        <w:pStyle w:val="Nivel3"/>
      </w:pPr>
      <w:r>
        <w:t>Identificada qualquer inexatidão ou irregularidade, o fiscal técnico do contrato emitirá notificações para a correção da execução do contrato, determinando prazo para a correção. (</w:t>
      </w:r>
      <w:hyperlink r:id="rId22" w:anchor="art22">
        <w:r w:rsidRPr="4C199FC9">
          <w:rPr>
            <w:rStyle w:val="Hyperlink"/>
          </w:rPr>
          <w:t>Decreto nº 11.246, de 2022, art. 22, III</w:t>
        </w:r>
      </w:hyperlink>
      <w:r>
        <w:t xml:space="preserve">); </w:t>
      </w:r>
    </w:p>
    <w:p w14:paraId="3E17476E" w14:textId="70189B5A" w:rsidR="006D5FA5" w:rsidRPr="0020168A" w:rsidRDefault="006D5FA5" w:rsidP="005D30B6">
      <w:pPr>
        <w:pStyle w:val="Nivel3"/>
      </w:pPr>
      <w:r>
        <w:t>O fiscal técnico do contrato informará ao gestor do contato, em tempo hábil, a situação que demandar decisão ou adoção de medidas que ultrapassem sua competência, para que adote as medidas necessárias e saneadoras, se for o caso. (</w:t>
      </w:r>
      <w:hyperlink r:id="rId23" w:anchor="art22">
        <w:r w:rsidRPr="4C199FC9">
          <w:rPr>
            <w:rStyle w:val="Hyperlink"/>
          </w:rPr>
          <w:t>Decreto nº 11.246, de 2022, art. 22, IV</w:t>
        </w:r>
      </w:hyperlink>
      <w:r>
        <w:t>).</w:t>
      </w:r>
    </w:p>
    <w:p w14:paraId="1E1C2A18" w14:textId="7B0CC47A" w:rsidR="006D5FA5" w:rsidRPr="0020168A" w:rsidRDefault="006D5FA5" w:rsidP="005D30B6">
      <w:pPr>
        <w:pStyle w:val="Nivel3"/>
      </w:pPr>
      <w:r>
        <w:t>No caso de ocorrências que possam inviabilizar a execução do contrato nas datas aprazadas, o fiscal técnico do contrato comunicará o fato imediatamente ao gestor do contrato. (</w:t>
      </w:r>
      <w:hyperlink r:id="rId24" w:anchor="art22">
        <w:r w:rsidRPr="4C199FC9">
          <w:rPr>
            <w:rStyle w:val="Hyperlink"/>
          </w:rPr>
          <w:t>Decreto nº 11.246, de 2022, art. 22, V</w:t>
        </w:r>
      </w:hyperlink>
      <w:r>
        <w:t>).</w:t>
      </w:r>
    </w:p>
    <w:p w14:paraId="39879A1C" w14:textId="33DA7508" w:rsidR="006D5FA5" w:rsidRPr="0020168A" w:rsidRDefault="006D5FA5" w:rsidP="005D30B6">
      <w:pPr>
        <w:pStyle w:val="Nivel3"/>
      </w:pPr>
      <w:r>
        <w:t>O fiscal técnico do contrato comunicar</w:t>
      </w:r>
      <w:r w:rsidR="6648D71A">
        <w:t>á</w:t>
      </w:r>
      <w:r>
        <w:t xml:space="preserve"> ao gestor do contrato, em tempo hábil, o término do contrato sob sua responsabilidade, com vistas à renovação tempestiva ou à prorrogação contratual </w:t>
      </w:r>
      <w:hyperlink r:id="rId25" w:anchor="art22">
        <w:r w:rsidRPr="4C199FC9">
          <w:rPr>
            <w:rStyle w:val="Hyperlink"/>
          </w:rPr>
          <w:t>(Decreto nº 11.246, de 2022, art. 22, VII</w:t>
        </w:r>
      </w:hyperlink>
      <w:r>
        <w:t>).</w:t>
      </w:r>
    </w:p>
    <w:p w14:paraId="3462EFC4" w14:textId="7085E57C" w:rsidR="3136B6F2" w:rsidRDefault="3136B6F2" w:rsidP="005D30B6">
      <w:pPr>
        <w:pStyle w:val="Nivel3"/>
        <w:numPr>
          <w:ilvl w:val="0"/>
          <w:numId w:val="0"/>
        </w:numPr>
      </w:pPr>
      <w:r w:rsidRPr="4C199FC9">
        <w:t>Fiscalização Administrativa</w:t>
      </w:r>
    </w:p>
    <w:p w14:paraId="222FF146" w14:textId="5EC87F5C" w:rsidR="006D5FA5" w:rsidRPr="0020168A" w:rsidRDefault="006D5FA5" w:rsidP="0084242C">
      <w:pPr>
        <w:pStyle w:val="Nivel2"/>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6" w:anchor="art23">
        <w:r w:rsidRPr="4C199FC9">
          <w:rPr>
            <w:rStyle w:val="Hyperlink"/>
          </w:rPr>
          <w:t>Art. 23, I e II, do Decreto nº 11.246, de 2022</w:t>
        </w:r>
      </w:hyperlink>
      <w:r>
        <w:t>).</w:t>
      </w:r>
    </w:p>
    <w:p w14:paraId="2447E0C0" w14:textId="4CCAC2E3" w:rsidR="006D5FA5" w:rsidRPr="0020168A" w:rsidRDefault="77384C9D" w:rsidP="005D30B6">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7" w:anchor="art23">
        <w:r w:rsidRPr="4EB864CD">
          <w:rPr>
            <w:rStyle w:val="Hyperlink"/>
          </w:rPr>
          <w:t>Decreto nº 11.246, de 2022, art. 23, IV</w:t>
        </w:r>
      </w:hyperlink>
      <w:r>
        <w:t>).</w:t>
      </w:r>
    </w:p>
    <w:p w14:paraId="5B666F18" w14:textId="5334A49D" w:rsidR="07D252D6" w:rsidRDefault="07D252D6" w:rsidP="00881F44">
      <w:pPr>
        <w:pStyle w:val="Nvel1-SemNumPreto"/>
        <w:rPr>
          <w:i/>
          <w:iCs/>
        </w:rPr>
      </w:pPr>
      <w:r w:rsidRPr="1414B7F7">
        <w:t>Gestor do Contrato</w:t>
      </w:r>
    </w:p>
    <w:p w14:paraId="61DFF839" w14:textId="114D220F" w:rsidR="07D252D6" w:rsidRDefault="687891D3" w:rsidP="0084242C">
      <w:pPr>
        <w:pStyle w:val="Nivel2"/>
      </w:pPr>
      <w:r w:rsidRPr="4EB864CD">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Default="687891D3" w:rsidP="0084242C">
      <w:pPr>
        <w:pStyle w:val="Nivel2"/>
      </w:pPr>
      <w:r w:rsidRPr="4EB864CD">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Default="687891D3" w:rsidP="0084242C">
      <w:pPr>
        <w:pStyle w:val="Nivel2"/>
      </w:pPr>
      <w:r w:rsidRPr="4EB864CD">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Default="687891D3" w:rsidP="0084242C">
      <w:pPr>
        <w:pStyle w:val="Nivel2"/>
      </w:pPr>
      <w:r w:rsidRPr="4EB864CD">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Default="687891D3" w:rsidP="0084242C">
      <w:pPr>
        <w:pStyle w:val="Nivel2"/>
      </w:pPr>
      <w:r w:rsidRPr="4EB864CD">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Default="687891D3" w:rsidP="0084242C">
      <w:pPr>
        <w:pStyle w:val="Nivel2"/>
      </w:pPr>
      <w:r w:rsidRPr="4EB864CD">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578826E2" w:rsidR="07D252D6" w:rsidRDefault="687891D3" w:rsidP="0084242C">
      <w:pPr>
        <w:pStyle w:val="Nivel2"/>
      </w:pPr>
      <w:r w:rsidRPr="4EB864CD">
        <w:t>O gestor do contrato deverá enviar a documentação pertinente ao setor de contratos para a formalização dos procedimentos de liquidação e pagamento, no valor dimensionado pela fiscalização e gestão nos termos do contrato.</w:t>
      </w:r>
    </w:p>
    <w:p w14:paraId="5847B691" w14:textId="77777777" w:rsidR="006D5FA5" w:rsidRPr="0020168A" w:rsidRDefault="006D5FA5" w:rsidP="00DA3EF1">
      <w:pPr>
        <w:pStyle w:val="Nivel01"/>
      </w:pPr>
      <w:r>
        <w:t>CRITÉRIOS DE MEDIÇÃO E DE PAGAMENTO</w:t>
      </w:r>
    </w:p>
    <w:p w14:paraId="5233B835" w14:textId="74C18BD3" w:rsidR="006D5FA5" w:rsidRPr="0020168A" w:rsidRDefault="006D5FA5" w:rsidP="00881F44">
      <w:pPr>
        <w:pStyle w:val="Nvel1-SemNumPreto"/>
      </w:pPr>
      <w:r w:rsidRPr="1414B7F7">
        <w:t>Recebimento</w:t>
      </w:r>
    </w:p>
    <w:p w14:paraId="252EB9CC" w14:textId="77777777" w:rsidR="006D5FA5" w:rsidRPr="0020168A" w:rsidRDefault="006D5FA5" w:rsidP="0084242C">
      <w:pPr>
        <w:pStyle w:val="Nivel2"/>
        <w:rPr>
          <w:lang w:eastAsia="en-US"/>
        </w:rPr>
      </w:pPr>
      <w:commentRangeStart w:id="15"/>
      <w:r w:rsidRPr="60CBE1EE">
        <w:rPr>
          <w:lang w:eastAsia="en-US"/>
        </w:rPr>
        <w:t>Os bens serão recebidos provisoriamente, de forma sumária</w:t>
      </w:r>
      <w:commentRangeEnd w:id="15"/>
      <w:r w:rsidR="0089757E">
        <w:rPr>
          <w:rStyle w:val="Refdecomentrio"/>
          <w:rFonts w:ascii="Ecofont_Spranq_eco_Sans" w:hAnsi="Ecofont_Spranq_eco_Sans" w:cs="Tahoma"/>
          <w:color w:val="auto"/>
        </w:rPr>
        <w:commentReference w:id="15"/>
      </w:r>
      <w:r w:rsidRPr="60CBE1EE">
        <w:rPr>
          <w:lang w:eastAsia="en-US"/>
        </w:rPr>
        <w:t xml:space="preserve">, no ato da entrega, juntamente com a </w:t>
      </w:r>
      <w:r w:rsidRPr="60CBE1EE">
        <w:rPr>
          <w:rFonts w:eastAsia="Calibri"/>
          <w:lang w:eastAsia="en-US"/>
        </w:rPr>
        <w:t>nota</w:t>
      </w:r>
      <w:r w:rsidRPr="60CBE1EE">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60CBE1EE">
        <w:rPr>
          <w:color w:val="FF0000"/>
          <w:lang w:eastAsia="en-US"/>
        </w:rPr>
        <w:t xml:space="preserve"> </w:t>
      </w:r>
      <w:r w:rsidRPr="60CBE1EE">
        <w:rPr>
          <w:lang w:eastAsia="en-US"/>
        </w:rPr>
        <w:t>e na proposta.</w:t>
      </w:r>
    </w:p>
    <w:p w14:paraId="0C9A9A35" w14:textId="6A023F94" w:rsidR="006D5FA5" w:rsidRPr="0020168A" w:rsidRDefault="006D5FA5" w:rsidP="0084242C">
      <w:pPr>
        <w:pStyle w:val="Nivel2"/>
        <w:rPr>
          <w:lang w:eastAsia="en-US"/>
        </w:rPr>
      </w:pPr>
      <w:r w:rsidRPr="60CBE1EE">
        <w:rPr>
          <w:lang w:eastAsia="en-US"/>
        </w:rPr>
        <w:t>Os bens poderão ser rejeitados, no todo ou em parte, inclusive antes do recebimento provisório, quando em desacordo com as especificações constantes no Termo de Referência</w:t>
      </w:r>
      <w:r w:rsidRPr="60CBE1EE">
        <w:rPr>
          <w:color w:val="FF0000"/>
          <w:lang w:eastAsia="en-US"/>
        </w:rPr>
        <w:t xml:space="preserve"> </w:t>
      </w:r>
      <w:r w:rsidRPr="60CBE1EE">
        <w:rPr>
          <w:lang w:eastAsia="en-US"/>
        </w:rPr>
        <w:t xml:space="preserve">e na proposta, devendo ser substituídos no prazo de </w:t>
      </w:r>
      <w:r w:rsidR="00D55C32" w:rsidRPr="00D55C32">
        <w:rPr>
          <w:color w:val="auto"/>
          <w:lang w:eastAsia="en-US"/>
        </w:rPr>
        <w:t>10 (dez)</w:t>
      </w:r>
      <w:r w:rsidRPr="00D55C32">
        <w:rPr>
          <w:color w:val="auto"/>
          <w:lang w:eastAsia="en-US"/>
        </w:rPr>
        <w:t xml:space="preserve"> </w:t>
      </w:r>
      <w:r w:rsidRPr="60CBE1EE">
        <w:rPr>
          <w:lang w:eastAsia="en-US"/>
        </w:rPr>
        <w:t>dias, a contar da notificação da contratada, às suas custas, sem prejuízo da aplicação das penalidades.</w:t>
      </w:r>
    </w:p>
    <w:p w14:paraId="221AA797" w14:textId="13F426FF" w:rsidR="006D5FA5" w:rsidRPr="0020168A" w:rsidRDefault="006D5FA5" w:rsidP="0084242C">
      <w:pPr>
        <w:pStyle w:val="Nivel2"/>
        <w:rPr>
          <w:lang w:eastAsia="en-US"/>
        </w:rPr>
      </w:pPr>
      <w:commentRangeStart w:id="16"/>
      <w:r w:rsidRPr="60CBE1EE">
        <w:rPr>
          <w:lang w:eastAsia="en-US"/>
        </w:rPr>
        <w:t xml:space="preserve">O recebimento definitivo ocorrerá no prazo de </w:t>
      </w:r>
      <w:r w:rsidR="00D55C32" w:rsidRPr="00D55C32">
        <w:rPr>
          <w:color w:val="auto"/>
          <w:lang w:eastAsia="en-US"/>
        </w:rPr>
        <w:t>30 (trinta</w:t>
      </w:r>
      <w:r w:rsidRPr="00D55C32">
        <w:rPr>
          <w:color w:val="auto"/>
          <w:lang w:eastAsia="en-US"/>
        </w:rPr>
        <w:t>) dias úteis</w:t>
      </w:r>
      <w:r w:rsidRPr="60CBE1EE">
        <w:rPr>
          <w:color w:val="FF0000"/>
          <w:lang w:eastAsia="en-US"/>
        </w:rPr>
        <w:t xml:space="preserve">, </w:t>
      </w:r>
      <w:r w:rsidRPr="60CBE1EE">
        <w:rPr>
          <w:lang w:eastAsia="en-US"/>
        </w:rPr>
        <w:t>a contar do recebimento da nota fiscal ou instrumento de cobrança equivalente pela Administração, após a verificação da qualidade e quantidade do material e consequente aceitação mediante termo detalhado.</w:t>
      </w:r>
      <w:commentRangeEnd w:id="16"/>
      <w:r>
        <w:commentReference w:id="16"/>
      </w:r>
    </w:p>
    <w:p w14:paraId="46650619" w14:textId="5577ED3C" w:rsidR="006D5FA5" w:rsidRPr="0020168A" w:rsidRDefault="006D5FA5" w:rsidP="0084242C">
      <w:pPr>
        <w:pStyle w:val="Nivel2"/>
        <w:rPr>
          <w:lang w:eastAsia="en-US"/>
        </w:rPr>
      </w:pPr>
      <w:commentRangeStart w:id="17"/>
      <w:r w:rsidRPr="60CBE1EE">
        <w:rPr>
          <w:lang w:eastAsia="en-US"/>
        </w:rPr>
        <w:t xml:space="preserve">Para as contratações decorrentes de despesas cujos valores não ultrapassem o limite de que trata o </w:t>
      </w:r>
      <w:hyperlink r:id="rId28" w:anchor="art75">
        <w:r w:rsidRPr="60CBE1EE">
          <w:rPr>
            <w:rStyle w:val="Hyperlink"/>
            <w:lang w:eastAsia="en-US"/>
          </w:rPr>
          <w:t>inciso II do art. 75 da Lei nº 14.133, de 2021</w:t>
        </w:r>
      </w:hyperlink>
      <w:r w:rsidRPr="60CBE1EE">
        <w:rPr>
          <w:lang w:eastAsia="en-US"/>
        </w:rPr>
        <w:t xml:space="preserve">, o prazo máximo para o recebimento definitivo será de até </w:t>
      </w:r>
      <w:r w:rsidR="00D55C32" w:rsidRPr="00D55C32">
        <w:rPr>
          <w:color w:val="auto"/>
          <w:lang w:eastAsia="en-US"/>
        </w:rPr>
        <w:t>15 (quinze</w:t>
      </w:r>
      <w:r w:rsidRPr="00D55C32">
        <w:rPr>
          <w:color w:val="auto"/>
          <w:lang w:eastAsia="en-US"/>
        </w:rPr>
        <w:t xml:space="preserve">) </w:t>
      </w:r>
      <w:r w:rsidRPr="60CBE1EE">
        <w:rPr>
          <w:lang w:eastAsia="en-US"/>
        </w:rPr>
        <w:t>dias úteis.</w:t>
      </w:r>
      <w:commentRangeEnd w:id="17"/>
      <w:r>
        <w:commentReference w:id="17"/>
      </w:r>
    </w:p>
    <w:p w14:paraId="3AF1A422" w14:textId="77777777" w:rsidR="006D5FA5" w:rsidRPr="0020168A" w:rsidRDefault="006D5FA5" w:rsidP="0084242C">
      <w:pPr>
        <w:pStyle w:val="Nivel2"/>
        <w:rPr>
          <w:lang w:eastAsia="en-US"/>
        </w:rPr>
      </w:pPr>
      <w:r w:rsidRPr="60CBE1EE">
        <w:rPr>
          <w:lang w:eastAsia="en-US"/>
        </w:rPr>
        <w:t xml:space="preserve">O prazo para recebimento definitivo poderá ser excepcionalmente prorrogado, </w:t>
      </w:r>
      <w:r w:rsidRPr="60CBE1EE">
        <w:rPr>
          <w:color w:val="auto"/>
          <w:lang w:eastAsia="en-US"/>
        </w:rPr>
        <w:t>de forma justificada, por igual período, quando houver necessidade de diligências para a aferição do ate</w:t>
      </w:r>
      <w:r w:rsidRPr="60CBE1EE">
        <w:rPr>
          <w:lang w:eastAsia="en-US"/>
        </w:rPr>
        <w:t>ndimento das exigências contratuais.</w:t>
      </w:r>
    </w:p>
    <w:p w14:paraId="633275DB" w14:textId="2E061167" w:rsidR="006D5FA5" w:rsidRPr="0020168A" w:rsidRDefault="006D5FA5" w:rsidP="0084242C">
      <w:pPr>
        <w:pStyle w:val="Nivel2"/>
        <w:rPr>
          <w:lang w:eastAsia="en-US"/>
        </w:rPr>
      </w:pPr>
      <w:r w:rsidRPr="60CBE1EE">
        <w:rPr>
          <w:lang w:eastAsia="en-US"/>
        </w:rPr>
        <w:t xml:space="preserve">No caso de controvérsia sobre a execução do objeto, quanto à dimensão, qualidade e quantidade, deverá ser observado o teor do </w:t>
      </w:r>
      <w:hyperlink r:id="rId29" w:anchor="art143">
        <w:r w:rsidRPr="60CBE1EE">
          <w:rPr>
            <w:rStyle w:val="Hyperlink"/>
            <w:lang w:eastAsia="en-US"/>
          </w:rPr>
          <w:t>art. 143 da Lei nº 14.133, de 2021</w:t>
        </w:r>
      </w:hyperlink>
      <w:r w:rsidRPr="60CBE1EE">
        <w:rPr>
          <w:lang w:eastAsia="en-US"/>
        </w:rPr>
        <w:t>, comunicando-se à empresa para emissão de Nota Fiscal no que pertine à parcela incontroversa da execução do objeto, para efeito de liquidação e pagamento.</w:t>
      </w:r>
    </w:p>
    <w:p w14:paraId="21E033AB" w14:textId="77777777" w:rsidR="006D5FA5" w:rsidRPr="0020168A" w:rsidRDefault="006D5FA5" w:rsidP="0084242C">
      <w:pPr>
        <w:pStyle w:val="Nivel2"/>
        <w:rPr>
          <w:lang w:eastAsia="en-US"/>
        </w:rPr>
      </w:pPr>
      <w:r w:rsidRPr="60CBE1E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20168A" w:rsidRDefault="006D5FA5" w:rsidP="0084242C">
      <w:pPr>
        <w:pStyle w:val="Nivel2"/>
        <w:rPr>
          <w:lang w:eastAsia="en-US"/>
        </w:rPr>
      </w:pPr>
      <w:r w:rsidRPr="60CBE1EE">
        <w:rPr>
          <w:lang w:eastAsia="en-US"/>
        </w:rPr>
        <w:t xml:space="preserve">O recebimento provisório ou definitivo não excluirá a responsabilidade civil pela solidez e pela segurança </w:t>
      </w:r>
      <w:r w:rsidR="00C92636" w:rsidRPr="60CBE1EE">
        <w:rPr>
          <w:lang w:eastAsia="en-US"/>
        </w:rPr>
        <w:t xml:space="preserve">dos bens </w:t>
      </w:r>
      <w:r w:rsidRPr="60CBE1EE">
        <w:rPr>
          <w:lang w:eastAsia="en-US"/>
        </w:rPr>
        <w:t>nem a responsabilidade ético-profissional pela perfeita execução do contrato.</w:t>
      </w:r>
    </w:p>
    <w:p w14:paraId="52137DE9" w14:textId="0EB12F99" w:rsidR="009D76FA" w:rsidRPr="0020168A" w:rsidRDefault="006D5FA5" w:rsidP="00881F44">
      <w:pPr>
        <w:pStyle w:val="Nvel1-SemNumPreto"/>
      </w:pPr>
      <w:r w:rsidRPr="0020168A">
        <w:t>Liquidaçã</w:t>
      </w:r>
      <w:r w:rsidR="004A5319" w:rsidRPr="0020168A">
        <w:t>o</w:t>
      </w:r>
    </w:p>
    <w:p w14:paraId="423A2D43" w14:textId="10E70C25" w:rsidR="006D5FA5" w:rsidRPr="0020168A" w:rsidRDefault="006D5FA5" w:rsidP="0084242C">
      <w:pPr>
        <w:pStyle w:val="Nivel2"/>
        <w:rPr>
          <w:lang w:eastAsia="en-US"/>
        </w:rPr>
      </w:pPr>
      <w:r w:rsidRPr="60CBE1EE">
        <w:rPr>
          <w:lang w:eastAsia="en-US"/>
        </w:rPr>
        <w:t xml:space="preserve">Recebida a Nota Fiscal ou documento de cobrança equivalente, correrá o prazo de dez dias úteis para fins de liquidação, na forma desta seção, prorrogáveis por igual período, nos termos do </w:t>
      </w:r>
      <w:r w:rsidR="7BCEC987" w:rsidRPr="7C584E9E">
        <w:rPr>
          <w:lang w:eastAsia="en-US"/>
        </w:rPr>
        <w:t>art. 7º, §</w:t>
      </w:r>
      <w:r w:rsidR="4E49A5D9" w:rsidRPr="7C584E9E">
        <w:rPr>
          <w:lang w:eastAsia="en-US"/>
        </w:rPr>
        <w:t>3</w:t>
      </w:r>
      <w:r w:rsidRPr="7C584E9E">
        <w:rPr>
          <w:rStyle w:val="Hyperlink"/>
          <w:lang w:eastAsia="en-US"/>
        </w:rPr>
        <w:t>º da Instrução Normativa SEGES/ME nº 77/2022</w:t>
      </w:r>
      <w:r w:rsidRPr="7C584E9E">
        <w:rPr>
          <w:lang w:eastAsia="en-US"/>
        </w:rPr>
        <w:t>.</w:t>
      </w:r>
    </w:p>
    <w:p w14:paraId="4CE732C3" w14:textId="39D659C9"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30" w:anchor="art75">
        <w:r w:rsidRPr="1F4099FD">
          <w:rPr>
            <w:rStyle w:val="Hyperlink"/>
          </w:rPr>
          <w:t>inciso II do art. 75 da Lei nº 14.133, de 2021</w:t>
        </w:r>
      </w:hyperlink>
      <w:r>
        <w:t>.</w:t>
      </w:r>
    </w:p>
    <w:p w14:paraId="5C93515C" w14:textId="77777777" w:rsidR="006D5FA5" w:rsidRPr="0020168A" w:rsidRDefault="006D5FA5" w:rsidP="0084242C">
      <w:pPr>
        <w:pStyle w:val="Nivel2"/>
        <w:rPr>
          <w:lang w:eastAsia="en-US"/>
        </w:rPr>
      </w:pPr>
      <w:r w:rsidRPr="60CBE1EE">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F67937" w:rsidRDefault="006D5FA5" w:rsidP="00881F44">
      <w:pPr>
        <w:pStyle w:val="Nivel3"/>
        <w:rPr>
          <w:lang w:eastAsia="en-US"/>
        </w:rPr>
      </w:pPr>
      <w:r w:rsidRPr="1F4099FD">
        <w:rPr>
          <w:lang w:eastAsia="en-US"/>
        </w:rPr>
        <w:lastRenderedPageBreak/>
        <w:t>o prazo de validade;</w:t>
      </w:r>
    </w:p>
    <w:p w14:paraId="6CAECA89" w14:textId="77777777" w:rsidR="00F67937" w:rsidRDefault="006D5FA5" w:rsidP="00881F44">
      <w:pPr>
        <w:pStyle w:val="Nivel3"/>
        <w:rPr>
          <w:lang w:eastAsia="en-US"/>
        </w:rPr>
      </w:pPr>
      <w:r w:rsidRPr="1F4099FD">
        <w:rPr>
          <w:lang w:eastAsia="en-US"/>
        </w:rPr>
        <w:t xml:space="preserve">a data da emissão; </w:t>
      </w:r>
    </w:p>
    <w:p w14:paraId="7A87FA3A" w14:textId="77777777" w:rsidR="00F67937" w:rsidRDefault="006D5FA5" w:rsidP="00881F44">
      <w:pPr>
        <w:pStyle w:val="Nivel3"/>
        <w:rPr>
          <w:lang w:eastAsia="en-US"/>
        </w:rPr>
      </w:pPr>
      <w:r w:rsidRPr="1F4099FD">
        <w:rPr>
          <w:lang w:eastAsia="en-US"/>
        </w:rPr>
        <w:t xml:space="preserve">os dados do contrato e do órgão contratante; </w:t>
      </w:r>
    </w:p>
    <w:p w14:paraId="02C6447A" w14:textId="77777777" w:rsidR="00F67937" w:rsidRDefault="006D5FA5" w:rsidP="00881F44">
      <w:pPr>
        <w:pStyle w:val="Nivel3"/>
        <w:rPr>
          <w:lang w:eastAsia="en-US"/>
        </w:rPr>
      </w:pPr>
      <w:r w:rsidRPr="1F4099FD">
        <w:rPr>
          <w:lang w:eastAsia="en-US"/>
        </w:rPr>
        <w:t xml:space="preserve">o período respectivo de execução do contrato; </w:t>
      </w:r>
    </w:p>
    <w:p w14:paraId="240EB273" w14:textId="77777777" w:rsidR="00F67937" w:rsidRDefault="006D5FA5" w:rsidP="00881F44">
      <w:pPr>
        <w:pStyle w:val="Nivel3"/>
        <w:rPr>
          <w:lang w:eastAsia="en-US"/>
        </w:rPr>
      </w:pPr>
      <w:r w:rsidRPr="1F4099FD">
        <w:rPr>
          <w:lang w:eastAsia="en-US"/>
        </w:rPr>
        <w:t xml:space="preserve">o valor a pagar; e </w:t>
      </w:r>
    </w:p>
    <w:p w14:paraId="38467FDE" w14:textId="4DADEA9F" w:rsidR="006D5FA5" w:rsidRPr="00F67937" w:rsidRDefault="006D5FA5" w:rsidP="00881F44">
      <w:pPr>
        <w:pStyle w:val="Nivel3"/>
        <w:rPr>
          <w:lang w:eastAsia="en-US"/>
        </w:rPr>
      </w:pPr>
      <w:r w:rsidRPr="1F4099FD">
        <w:rPr>
          <w:lang w:eastAsia="en-US"/>
        </w:rPr>
        <w:t>eventual destaque do valor de retenções tributárias cabíveis.</w:t>
      </w:r>
    </w:p>
    <w:p w14:paraId="03A44876" w14:textId="77777777" w:rsidR="006D5FA5" w:rsidRPr="0020168A" w:rsidRDefault="006D5FA5" w:rsidP="0084242C">
      <w:pPr>
        <w:pStyle w:val="Nivel2"/>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20168A" w:rsidRDefault="006D5FA5" w:rsidP="0084242C">
      <w:pPr>
        <w:pStyle w:val="Nivel2"/>
        <w:rPr>
          <w:lang w:eastAsia="en-US"/>
        </w:rPr>
      </w:pPr>
      <w:r w:rsidRPr="60CBE1EE">
        <w:rPr>
          <w:lang w:eastAsia="en-US"/>
        </w:rPr>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31" w:anchor="art68">
        <w:r w:rsidRPr="60CBE1EE">
          <w:rPr>
            <w:rStyle w:val="Hyperlink"/>
            <w:lang w:eastAsia="en-US"/>
          </w:rPr>
          <w:t xml:space="preserve">art. 68 da Lei nº 14.133, de 2021.  </w:t>
        </w:r>
      </w:hyperlink>
      <w:r w:rsidRPr="60CBE1EE">
        <w:rPr>
          <w:lang w:eastAsia="en-US"/>
        </w:rPr>
        <w:t xml:space="preserve"> </w:t>
      </w:r>
    </w:p>
    <w:p w14:paraId="080397CD" w14:textId="66DE8055" w:rsidR="653B737E" w:rsidRDefault="653B737E" w:rsidP="0084242C">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20168A" w:rsidRDefault="006D5FA5" w:rsidP="0084242C">
      <w:pPr>
        <w:pStyle w:val="Nivel2"/>
        <w:rPr>
          <w:lang w:eastAsia="en-US"/>
        </w:rPr>
      </w:pPr>
      <w:r w:rsidRPr="60CBE1EE">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20168A" w:rsidRDefault="006D5FA5" w:rsidP="0084242C">
      <w:pPr>
        <w:pStyle w:val="Nivel2"/>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20168A" w:rsidRDefault="006D5FA5" w:rsidP="0084242C">
      <w:pPr>
        <w:pStyle w:val="Nivel2"/>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20168A" w:rsidRDefault="006D5FA5" w:rsidP="0084242C">
      <w:pPr>
        <w:pStyle w:val="Nivel2"/>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20168A" w:rsidRDefault="006D5FA5" w:rsidP="00C64D84">
      <w:pPr>
        <w:pStyle w:val="Nvel1-SemNumPreto"/>
      </w:pPr>
      <w:r w:rsidRPr="0020168A">
        <w:t>Prazo de pagamento</w:t>
      </w:r>
    </w:p>
    <w:p w14:paraId="10CDE73D" w14:textId="693EF23D" w:rsidR="006D5FA5" w:rsidRPr="0020168A" w:rsidRDefault="006D5FA5" w:rsidP="0084242C">
      <w:pPr>
        <w:pStyle w:val="Nivel2"/>
      </w:pPr>
      <w:r>
        <w:t xml:space="preserve">O pagamento será efetuado no prazo de até 10 (dez) dias úteis contados da finalização da liquidação da despesa, conforme seção anterior, nos termos da </w:t>
      </w:r>
      <w:hyperlink r:id="rId32">
        <w:r w:rsidRPr="60CBE1EE">
          <w:rPr>
            <w:rStyle w:val="Hyperlink"/>
          </w:rPr>
          <w:t>Instrução Normativa SEGES/ME nº 77, de 2022</w:t>
        </w:r>
      </w:hyperlink>
      <w:r>
        <w:t>.</w:t>
      </w:r>
    </w:p>
    <w:p w14:paraId="462CCEED" w14:textId="7C51C07E" w:rsidR="006D5FA5" w:rsidRPr="0020168A" w:rsidRDefault="006D5FA5" w:rsidP="0084242C">
      <w:pPr>
        <w:pStyle w:val="Nivel2"/>
        <w:rPr>
          <w:lang w:eastAsia="en-US"/>
        </w:rPr>
      </w:pPr>
      <w:commentRangeStart w:id="18"/>
      <w:r w:rsidRPr="60CBE1EE">
        <w:rPr>
          <w:lang w:eastAsia="en-US"/>
        </w:rPr>
        <w:t xml:space="preserve">No caso de atraso pelo Contratante, os valores devidos ao contratado serão atualizados monetariamente entre o termo final do prazo de pagamento até a data de sua efetiva realização, mediante aplicação do índice </w:t>
      </w:r>
      <w:r w:rsidR="00D55C32" w:rsidRPr="00D55C32">
        <w:rPr>
          <w:color w:val="auto"/>
          <w:lang w:eastAsia="en-US"/>
        </w:rPr>
        <w:t>IPCA/IBGE</w:t>
      </w:r>
      <w:r w:rsidRPr="00D55C32">
        <w:rPr>
          <w:color w:val="auto"/>
          <w:lang w:eastAsia="en-US"/>
        </w:rPr>
        <w:t xml:space="preserve"> </w:t>
      </w:r>
      <w:r w:rsidRPr="60CBE1EE">
        <w:rPr>
          <w:lang w:eastAsia="en-US"/>
        </w:rPr>
        <w:t>de correção monetária.</w:t>
      </w:r>
      <w:commentRangeEnd w:id="18"/>
      <w:r>
        <w:commentReference w:id="18"/>
      </w:r>
    </w:p>
    <w:p w14:paraId="06648BED" w14:textId="77777777" w:rsidR="006D5FA5" w:rsidRPr="0020168A" w:rsidRDefault="006D5FA5" w:rsidP="00C64D84">
      <w:pPr>
        <w:pStyle w:val="Nvel1-SemNumPreto"/>
      </w:pPr>
      <w:r w:rsidRPr="0020168A">
        <w:t>Forma de pagamento</w:t>
      </w:r>
    </w:p>
    <w:p w14:paraId="5A58C209" w14:textId="77777777" w:rsidR="006D5FA5" w:rsidRPr="0020168A" w:rsidRDefault="006D5FA5" w:rsidP="0084242C">
      <w:pPr>
        <w:pStyle w:val="Nivel2"/>
        <w:rPr>
          <w:lang w:eastAsia="en-US"/>
        </w:rPr>
      </w:pPr>
      <w:r w:rsidRPr="60CBE1EE">
        <w:rPr>
          <w:lang w:eastAsia="en-US"/>
        </w:rPr>
        <w:t>O pagamento será realizado por meio de ordem bancária, para crédito em banco, agência e conta corrente indicados pelo contratado.</w:t>
      </w:r>
    </w:p>
    <w:p w14:paraId="1A18C34A" w14:textId="77777777" w:rsidR="006D5FA5" w:rsidRPr="0020168A" w:rsidRDefault="006D5FA5" w:rsidP="0084242C">
      <w:pPr>
        <w:pStyle w:val="Nivel2"/>
        <w:rPr>
          <w:lang w:eastAsia="en-US"/>
        </w:rPr>
      </w:pPr>
      <w:r w:rsidRPr="60CBE1EE">
        <w:rPr>
          <w:lang w:eastAsia="en-US"/>
        </w:rPr>
        <w:t>Será considerada data do pagamento o dia em que constar como emitida a ordem bancária para pagamento.</w:t>
      </w:r>
    </w:p>
    <w:p w14:paraId="4308B690" w14:textId="77777777" w:rsidR="006D5FA5" w:rsidRPr="0020168A" w:rsidRDefault="006D5FA5" w:rsidP="0084242C">
      <w:pPr>
        <w:pStyle w:val="Nivel2"/>
        <w:rPr>
          <w:lang w:eastAsia="en-US"/>
        </w:rPr>
      </w:pPr>
      <w:r w:rsidRPr="60CBE1EE">
        <w:rPr>
          <w:lang w:eastAsia="en-US"/>
        </w:rPr>
        <w:t>Quando do pagamento, será efetuada a retenção tributária prevista na legislação aplicável.</w:t>
      </w:r>
    </w:p>
    <w:p w14:paraId="4050937F" w14:textId="77777777" w:rsidR="006D5FA5" w:rsidRPr="0020168A" w:rsidRDefault="006D5FA5" w:rsidP="005D30B6">
      <w:pPr>
        <w:pStyle w:val="Nivel3"/>
        <w:rPr>
          <w:lang w:eastAsia="en-US"/>
        </w:rPr>
      </w:pPr>
      <w:commentRangeStart w:id="19"/>
      <w:r w:rsidRPr="1F4099FD">
        <w:rPr>
          <w:lang w:eastAsia="en-US"/>
        </w:rPr>
        <w:lastRenderedPageBreak/>
        <w:t>Independentemente do percentual de tributo inserido na planilha, quando houver, serão retidos na fonte, quando da realização do pagamento, os percentuais estabelecidos na legislação vigente.</w:t>
      </w:r>
      <w:commentRangeEnd w:id="19"/>
      <w:r>
        <w:commentReference w:id="19"/>
      </w:r>
    </w:p>
    <w:p w14:paraId="5798EBC7" w14:textId="2EE00DEA" w:rsidR="006D5FA5" w:rsidRPr="0020168A" w:rsidRDefault="006D5FA5" w:rsidP="0084242C">
      <w:pPr>
        <w:pStyle w:val="Nivel2"/>
        <w:rPr>
          <w:lang w:eastAsia="en-US"/>
        </w:rPr>
      </w:pPr>
      <w:r w:rsidRPr="60CBE1EE">
        <w:rPr>
          <w:lang w:eastAsia="en-US"/>
        </w:rPr>
        <w:t xml:space="preserve">O contratado regularmente optante pelo Simples Nacional, nos termos da </w:t>
      </w:r>
      <w:hyperlink r:id="rId33">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766BD2" w14:textId="77777777" w:rsidR="006D5FA5" w:rsidRPr="0020168A" w:rsidRDefault="006D5FA5" w:rsidP="00C64D84">
      <w:pPr>
        <w:pStyle w:val="Nvel1-SemNumPreto"/>
      </w:pPr>
      <w:commentRangeStart w:id="20"/>
      <w:r w:rsidRPr="0020168A">
        <w:t>Cessão de crédito</w:t>
      </w:r>
      <w:commentRangeEnd w:id="20"/>
      <w:r w:rsidR="005960B8" w:rsidRPr="0020168A">
        <w:rPr>
          <w:rStyle w:val="Refdecomentrio"/>
          <w:rFonts w:eastAsiaTheme="minorEastAsia"/>
          <w:b w:val="0"/>
          <w:bCs w:val="0"/>
        </w:rPr>
        <w:commentReference w:id="20"/>
      </w:r>
    </w:p>
    <w:p w14:paraId="6015AC75" w14:textId="6482983B" w:rsidR="006D5FA5" w:rsidRPr="0020168A" w:rsidRDefault="006D5FA5" w:rsidP="0084242C">
      <w:pPr>
        <w:pStyle w:val="Nivel2"/>
        <w:rPr>
          <w:lang w:eastAsia="en-US"/>
        </w:rPr>
      </w:pPr>
      <w:r w:rsidRPr="60CBE1EE">
        <w:rPr>
          <w:lang w:eastAsia="en-US"/>
        </w:rPr>
        <w:t xml:space="preserve">É admitida a cessão fiduciária de direitos creditícios com instituição financeira, nos termos e de acordo com os procedimentos previstos na </w:t>
      </w:r>
      <w:hyperlink r:id="rId34">
        <w:r w:rsidRPr="60CBE1EE">
          <w:rPr>
            <w:rStyle w:val="Hyperlink"/>
            <w:lang w:eastAsia="en-US"/>
          </w:rPr>
          <w:t>Instrução Normativa SEGES/ME nº 53, de 8 de Julho de 2020</w:t>
        </w:r>
      </w:hyperlink>
      <w:r w:rsidRPr="60CBE1EE">
        <w:rPr>
          <w:lang w:eastAsia="en-US"/>
        </w:rPr>
        <w:t>, conforme as regras deste presente tópico.</w:t>
      </w:r>
    </w:p>
    <w:p w14:paraId="3A85E89C" w14:textId="63F7AFFC" w:rsidR="006D5FA5" w:rsidRPr="00D55C32" w:rsidRDefault="006D5FA5" w:rsidP="00D55C32">
      <w:pPr>
        <w:pStyle w:val="Nvel3-R"/>
      </w:pPr>
      <w:bookmarkStart w:id="21" w:name="_Ref118216946"/>
      <w:commentRangeStart w:id="22"/>
      <w:r w:rsidRPr="00D55C32">
        <w:t xml:space="preserve">As cessões de crédito </w:t>
      </w:r>
      <w:r w:rsidR="00756204" w:rsidRPr="00D55C32">
        <w:t xml:space="preserve">não abrangidas pela Instrução Normativa SEGES/ME nº 53, de 8 de julho de 2020 </w:t>
      </w:r>
      <w:r w:rsidRPr="00D55C32">
        <w:t>dependerão de prévia aprovação do contratante.</w:t>
      </w:r>
      <w:bookmarkEnd w:id="21"/>
      <w:commentRangeEnd w:id="22"/>
      <w:r w:rsidRPr="00D55C32">
        <w:commentReference w:id="22"/>
      </w:r>
    </w:p>
    <w:p w14:paraId="3D6DC2FD" w14:textId="3000ADBF" w:rsidR="006D5FA5" w:rsidRPr="0020168A" w:rsidRDefault="006D5FA5" w:rsidP="0084242C">
      <w:pPr>
        <w:pStyle w:val="Nivel2"/>
        <w:rPr>
          <w:lang w:eastAsia="en-US"/>
        </w:rPr>
      </w:pPr>
      <w:commentRangeStart w:id="23"/>
      <w:r w:rsidRPr="60CBE1EE">
        <w:rPr>
          <w:lang w:eastAsia="en-US"/>
        </w:rPr>
        <w:t>A eficácia da cessão de crédito</w:t>
      </w:r>
      <w:r w:rsidR="00A22B6B" w:rsidRPr="00A22B6B">
        <w:t xml:space="preserve"> </w:t>
      </w:r>
      <w:r w:rsidR="00A22B6B" w:rsidRPr="16C22A4B">
        <w:t>não</w:t>
      </w:r>
      <w:r w:rsidR="00A22B6B">
        <w:t xml:space="preserve"> abrangidas</w:t>
      </w:r>
      <w:r w:rsidR="00A22B6B" w:rsidRPr="16C22A4B">
        <w:t xml:space="preserve"> </w:t>
      </w:r>
      <w:r w:rsidR="00A22B6B">
        <w:t>pela Instrução Normativa SEGES/ME nº 53, de 8 de julho de 2020,</w:t>
      </w:r>
      <w:r w:rsidRPr="60CBE1EE">
        <w:rPr>
          <w:lang w:eastAsia="en-US"/>
        </w:rPr>
        <w:t xml:space="preserve"> em relação à Administração, está condicionada à celebração de termo aditivo ao contrato administrativo.</w:t>
      </w:r>
    </w:p>
    <w:p w14:paraId="36DE3F19" w14:textId="6AA34A33" w:rsidR="006D5FA5" w:rsidRPr="0020168A" w:rsidRDefault="006D5FA5" w:rsidP="0084242C">
      <w:pPr>
        <w:pStyle w:val="Nivel2"/>
        <w:rPr>
          <w:lang w:eastAsia="en-US"/>
        </w:rPr>
      </w:pPr>
      <w:r w:rsidRPr="60CBE1EE">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35" w:anchor=":~:text=LEI%20N%C2%BA%208.429%2C%20DE%202%20DE%20JUNHO%20DE%201992&amp;text=Disp%C3%B5e%20sobre%20as%20san%C3%A7%C3%B5es%20aplic%C3%A1veis,fundacional%20e%20d%C3%A1%20outras%20provid%C3%AAncias.">
        <w:r w:rsidRPr="60CBE1EE">
          <w:rPr>
            <w:rStyle w:val="Hyperlink"/>
            <w:lang w:eastAsia="en-US"/>
          </w:rPr>
          <w:t>o art. 12 da Lei nº 8.429, de 1992</w:t>
        </w:r>
      </w:hyperlink>
      <w:r w:rsidR="1C562287" w:rsidRPr="728E6B8C">
        <w:rPr>
          <w:lang w:eastAsia="en-US"/>
        </w:rPr>
        <w:t>,</w:t>
      </w:r>
      <w:r w:rsidRPr="60CBE1EE">
        <w:rPr>
          <w:lang w:eastAsia="en-US"/>
        </w:rPr>
        <w:t xml:space="preserve"> nos termos do </w:t>
      </w:r>
      <w:hyperlink r:id="rId36">
        <w:r w:rsidRPr="60CBE1EE">
          <w:rPr>
            <w:rStyle w:val="Hyperlink"/>
            <w:lang w:eastAsia="en-US"/>
          </w:rPr>
          <w:t>Parecer JL-01, de 18 de maio de 2020.</w:t>
        </w:r>
      </w:hyperlink>
      <w:bookmarkStart w:id="24" w:name="_Hlk114498447"/>
      <w:bookmarkEnd w:id="24"/>
    </w:p>
    <w:p w14:paraId="5B1F8C0E" w14:textId="45822EA3" w:rsidR="03968920" w:rsidRDefault="03968920" w:rsidP="0084242C">
      <w:pPr>
        <w:pStyle w:val="Nivel2"/>
      </w:pPr>
      <w:r w:rsidRPr="728E6B8C">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728E6B8C">
        <w:rPr>
          <w:sz w:val="19"/>
          <w:szCs w:val="19"/>
        </w:rPr>
        <w:t xml:space="preserve"> </w:t>
      </w:r>
      <w:commentRangeStart w:id="25"/>
      <w:r w:rsidRPr="728E6B8C">
        <w:rPr>
          <w:sz w:val="19"/>
          <w:szCs w:val="19"/>
        </w:rPr>
        <w:t>(INSTRUÇÃO NORMATIVA Nº 53, DE 8 DE JULHO DE 2020 e Anexos)</w:t>
      </w:r>
      <w:commentRangeEnd w:id="25"/>
      <w:r>
        <w:commentReference w:id="25"/>
      </w:r>
    </w:p>
    <w:p w14:paraId="111D3AA9" w14:textId="77777777" w:rsidR="006D5FA5" w:rsidRPr="0020168A" w:rsidRDefault="006D5FA5" w:rsidP="0084242C">
      <w:pPr>
        <w:pStyle w:val="Nivel2"/>
        <w:rPr>
          <w:lang w:eastAsia="en-US"/>
        </w:rPr>
      </w:pPr>
      <w:r w:rsidRPr="60CBE1EE">
        <w:rPr>
          <w:lang w:eastAsia="en-US"/>
        </w:rPr>
        <w:t>A cessão de crédito não afetará a execução do objeto contratado, que continuará sob a integral responsabilidade do contratado.</w:t>
      </w:r>
      <w:commentRangeEnd w:id="23"/>
      <w:r>
        <w:commentReference w:id="23"/>
      </w:r>
    </w:p>
    <w:p w14:paraId="2E24D412" w14:textId="087B44EA" w:rsidR="006D5FA5" w:rsidRPr="0020168A" w:rsidRDefault="006D5FA5" w:rsidP="00DA3EF1">
      <w:pPr>
        <w:pStyle w:val="Nivel01"/>
      </w:pPr>
      <w:r>
        <w:t>FORMA E CRITÉRIOS DE SELEÇÃO DO FORNECEDOR</w:t>
      </w:r>
      <w:r w:rsidR="00E66CC3">
        <w:t xml:space="preserve"> E FORMA DE FORNECIMENTO</w:t>
      </w:r>
    </w:p>
    <w:p w14:paraId="55E892C6" w14:textId="77777777" w:rsidR="006D5FA5" w:rsidRPr="0020168A" w:rsidRDefault="006D5FA5" w:rsidP="00881F44">
      <w:pPr>
        <w:pStyle w:val="Nvel1-SemNumPreto"/>
        <w:rPr>
          <w:highlight w:val="yellow"/>
        </w:rPr>
      </w:pPr>
      <w:r w:rsidRPr="0020168A">
        <w:t>Forma de seleção e critério de julgamento da proposta</w:t>
      </w:r>
    </w:p>
    <w:p w14:paraId="5653A6C5" w14:textId="05748959" w:rsidR="006D5FA5" w:rsidRPr="00D55C32" w:rsidRDefault="006D5FA5" w:rsidP="0084242C">
      <w:pPr>
        <w:pStyle w:val="Nivel2"/>
        <w:rPr>
          <w:color w:val="auto"/>
        </w:rPr>
      </w:pPr>
      <w:r w:rsidRPr="60CBE1EE">
        <w:t xml:space="preserve">O fornecedor será selecionado por meio da realização de procedimento de LICITAÇÃO, na </w:t>
      </w:r>
      <w:r w:rsidRPr="00D55C32">
        <w:rPr>
          <w:color w:val="auto"/>
        </w:rPr>
        <w:t>modalidade PREGÃO, sob a forma ELETRÔNICA, com adoção do critério de julgamento pelo MENOR PREÇO.</w:t>
      </w:r>
    </w:p>
    <w:p w14:paraId="7E24092C" w14:textId="5F0995AA" w:rsidR="00E66CC3" w:rsidRPr="00D55C32" w:rsidRDefault="00E66CC3" w:rsidP="00C64D84">
      <w:pPr>
        <w:pStyle w:val="Nvel1-SemNumPreto"/>
      </w:pPr>
      <w:r w:rsidRPr="00D55C32">
        <w:t>Forma de fornecimento</w:t>
      </w:r>
    </w:p>
    <w:p w14:paraId="5E089EE6" w14:textId="01A6D27F" w:rsidR="00E66CC3" w:rsidRPr="00D55C32" w:rsidRDefault="00E66CC3" w:rsidP="0084242C">
      <w:pPr>
        <w:pStyle w:val="Nivel2"/>
        <w:rPr>
          <w:color w:val="auto"/>
        </w:rPr>
      </w:pPr>
      <w:r w:rsidRPr="00D55C32">
        <w:rPr>
          <w:rStyle w:val="normaltextrun"/>
          <w:color w:val="auto"/>
          <w:shd w:val="clear" w:color="auto" w:fill="FFFFFF"/>
        </w:rPr>
        <w:t xml:space="preserve">O </w:t>
      </w:r>
      <w:r w:rsidRPr="00D55C32">
        <w:rPr>
          <w:rStyle w:val="findhit"/>
          <w:color w:val="auto"/>
          <w:shd w:val="clear" w:color="auto" w:fill="FFFFFF"/>
        </w:rPr>
        <w:t xml:space="preserve">fornecimento do objeto será </w:t>
      </w:r>
      <w:r w:rsidRPr="00D55C32">
        <w:rPr>
          <w:color w:val="auto"/>
        </w:rPr>
        <w:t>parcelado</w:t>
      </w:r>
      <w:r w:rsidRPr="00D55C32">
        <w:rPr>
          <w:color w:val="auto"/>
          <w:shd w:val="clear" w:color="auto" w:fill="FFFFFF"/>
        </w:rPr>
        <w:t>.</w:t>
      </w:r>
    </w:p>
    <w:p w14:paraId="6231C289" w14:textId="77777777" w:rsidR="006D5FA5" w:rsidRPr="0020168A" w:rsidRDefault="006D5FA5" w:rsidP="00C64D84">
      <w:pPr>
        <w:pStyle w:val="Nvel1-SemNumPreto"/>
      </w:pPr>
      <w:commentRangeStart w:id="26"/>
      <w:r w:rsidRPr="0020168A">
        <w:t>Exigências de habilitação</w:t>
      </w:r>
      <w:commentRangeEnd w:id="26"/>
      <w:r w:rsidR="002463E2" w:rsidRPr="0020168A">
        <w:rPr>
          <w:rStyle w:val="Refdecomentrio"/>
          <w:rFonts w:eastAsiaTheme="minorEastAsia"/>
          <w:b w:val="0"/>
          <w:bCs w:val="0"/>
        </w:rPr>
        <w:commentReference w:id="26"/>
      </w:r>
    </w:p>
    <w:p w14:paraId="2A00DBFC" w14:textId="77777777" w:rsidR="006D5FA5" w:rsidRPr="0020168A" w:rsidRDefault="006D5FA5" w:rsidP="0084242C">
      <w:pPr>
        <w:pStyle w:val="Nivel2"/>
      </w:pPr>
      <w:r>
        <w:t>Para fins de habilitação, deverá o licitante comprovar os seguintes requisitos:</w:t>
      </w:r>
    </w:p>
    <w:p w14:paraId="3CAA058D" w14:textId="77777777" w:rsidR="006D5FA5" w:rsidRPr="0020168A" w:rsidRDefault="006D5FA5" w:rsidP="00C64D84">
      <w:pPr>
        <w:pStyle w:val="Nvel1-SemNumPreto"/>
      </w:pPr>
      <w:r w:rsidRPr="0020168A">
        <w:lastRenderedPageBreak/>
        <w:t>Habilitação jurídica</w:t>
      </w:r>
    </w:p>
    <w:p w14:paraId="61A3B4C2" w14:textId="4EC0B697" w:rsidR="006D5FA5" w:rsidRPr="0020168A" w:rsidRDefault="006D5FA5" w:rsidP="0084242C">
      <w:pPr>
        <w:pStyle w:val="Nivel2"/>
      </w:pPr>
      <w:bookmarkStart w:id="27" w:name="_Ref115800561"/>
      <w:commentRangeStart w:id="28"/>
      <w:r w:rsidRPr="0C492A58">
        <w:rPr>
          <w:b/>
          <w:bCs/>
        </w:rPr>
        <w:t>Pessoa física:</w:t>
      </w:r>
      <w:r>
        <w:t xml:space="preserve"> cédula de identidade (RG) ou documento equivalente que, por força de lei, tenha validade para fins de identificação em todo o território nacional;</w:t>
      </w:r>
      <w:bookmarkEnd w:id="27"/>
      <w:commentRangeEnd w:id="28"/>
      <w:r>
        <w:commentReference w:id="28"/>
      </w:r>
    </w:p>
    <w:p w14:paraId="3AC2B401" w14:textId="77777777" w:rsidR="006D5FA5" w:rsidRPr="0020168A" w:rsidRDefault="006D5FA5" w:rsidP="0084242C">
      <w:pPr>
        <w:pStyle w:val="Nivel2"/>
      </w:pPr>
      <w:r w:rsidRPr="0C492A58">
        <w:rPr>
          <w:b/>
          <w:bCs/>
        </w:rPr>
        <w:t>Empresário individual:</w:t>
      </w:r>
      <w:r>
        <w:t xml:space="preserve"> inscrição no Registro Público de Empresas Mercantis, a cargo da Junta Comercial da respectiva sede; </w:t>
      </w:r>
    </w:p>
    <w:p w14:paraId="5A8057EA" w14:textId="1562676A" w:rsidR="006D5FA5" w:rsidRPr="0020168A" w:rsidRDefault="006D5FA5" w:rsidP="0084242C">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37">
        <w:r w:rsidRPr="0C492A58">
          <w:rPr>
            <w:rStyle w:val="Hyperlink"/>
          </w:rPr>
          <w:t>https://www.gov.br/empresas-e-negocios/pt-br/empreendedor</w:t>
        </w:r>
      </w:hyperlink>
      <w:r>
        <w:t xml:space="preserve">; </w:t>
      </w:r>
    </w:p>
    <w:p w14:paraId="08B985C7" w14:textId="77777777" w:rsidR="006D5FA5" w:rsidRPr="0020168A" w:rsidRDefault="006D5FA5" w:rsidP="0084242C">
      <w:pPr>
        <w:pStyle w:val="Nivel2"/>
      </w:pPr>
      <w:commentRangeStart w:id="29"/>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commentRangeEnd w:id="29"/>
      <w:r>
        <w:commentReference w:id="29"/>
      </w:r>
    </w:p>
    <w:p w14:paraId="5DA40C7D" w14:textId="7B260720" w:rsidR="006D5FA5" w:rsidRPr="0020168A" w:rsidRDefault="006D5FA5" w:rsidP="0084242C">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r w:rsidRPr="0C492A58">
          <w:rPr>
            <w:rStyle w:val="Hyperlink"/>
          </w:rPr>
          <w:t>Normativa DREI/ME n.º 77, de 18 de março de 2020</w:t>
        </w:r>
      </w:hyperlink>
      <w:r>
        <w:t>.</w:t>
      </w:r>
    </w:p>
    <w:p w14:paraId="797FF824" w14:textId="77777777" w:rsidR="006D5FA5" w:rsidRPr="0020168A" w:rsidRDefault="006D5FA5" w:rsidP="0084242C">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14:paraId="3D5F6A06" w14:textId="77777777" w:rsidR="006D5FA5" w:rsidRPr="0020168A" w:rsidRDefault="006D5FA5" w:rsidP="0084242C">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30" w:name="_Int_ySfCXwr4"/>
      <w:r>
        <w:t>Mercantis onde</w:t>
      </w:r>
      <w:bookmarkEnd w:id="30"/>
      <w:r>
        <w:t xml:space="preserve"> opera, com averbação no Registro onde tem sede a matriz</w:t>
      </w:r>
    </w:p>
    <w:p w14:paraId="10734638" w14:textId="7CEC4A9C" w:rsidR="006D5FA5" w:rsidRPr="0020168A" w:rsidRDefault="006D5FA5" w:rsidP="0084242C">
      <w:pPr>
        <w:pStyle w:val="Nivel2"/>
      </w:pPr>
      <w:r w:rsidRPr="0C492A58">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39" w:anchor="art107">
        <w:r w:rsidRPr="0C492A58">
          <w:rPr>
            <w:rStyle w:val="Hyperlink"/>
          </w:rPr>
          <w:t>art. 107 da Lei nº 5.764, de 16 de dezembro 1971</w:t>
        </w:r>
      </w:hyperlink>
      <w:r>
        <w:t>.</w:t>
      </w:r>
    </w:p>
    <w:p w14:paraId="3159843F" w14:textId="1A024125" w:rsidR="006D5FA5" w:rsidRPr="0020168A" w:rsidRDefault="006D5FA5" w:rsidP="0084242C">
      <w:pPr>
        <w:pStyle w:val="Nivel2"/>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hyperlink r:id="rId40" w:anchor="art4§2">
        <w:r w:rsidRPr="0C492A58">
          <w:rPr>
            <w:rStyle w:val="Hyperlink"/>
          </w:rPr>
          <w:t xml:space="preserve"> art. 4º, §2º do Decreto nº 10.880, de 2 de dezembro de 2021</w:t>
        </w:r>
      </w:hyperlink>
      <w:r>
        <w:t>.</w:t>
      </w:r>
    </w:p>
    <w:p w14:paraId="52333DAD" w14:textId="6389E13C" w:rsidR="006D5FA5" w:rsidRPr="0020168A" w:rsidRDefault="006D5FA5" w:rsidP="0084242C">
      <w:pPr>
        <w:pStyle w:val="Nivel2"/>
      </w:pPr>
      <w:r w:rsidRPr="0C492A58">
        <w:rPr>
          <w:b/>
          <w:bCs/>
        </w:rPr>
        <w:t>Produtor Rural:</w:t>
      </w:r>
      <w:r>
        <w:t xml:space="preserve"> matrícula no Cadastro Específico do INSS – CEI, que comprove a qualificação como produtor rural pessoa física, nos termos da </w:t>
      </w:r>
      <w:hyperlink r:id="rId41">
        <w:r w:rsidRPr="0C492A58">
          <w:rPr>
            <w:rStyle w:val="Hyperlink"/>
          </w:rPr>
          <w:t>Instrução Normativa RFB n. 971, de 13 de novembro de 2009</w:t>
        </w:r>
      </w:hyperlink>
      <w:r>
        <w:t xml:space="preserve"> (arts. 17 a 19 e 165).</w:t>
      </w:r>
    </w:p>
    <w:p w14:paraId="37506265" w14:textId="77777777" w:rsidR="006D5FA5" w:rsidRPr="0020168A" w:rsidRDefault="006D5FA5" w:rsidP="0084242C">
      <w:pPr>
        <w:pStyle w:val="Nivel2"/>
      </w:pPr>
      <w:r>
        <w:t>Os documentos apresentados deverão estar acompanhados de todas as alterações ou da consolidação respectiva.</w:t>
      </w:r>
    </w:p>
    <w:p w14:paraId="21DB9363" w14:textId="77777777" w:rsidR="006D5FA5" w:rsidRPr="0020168A" w:rsidRDefault="006D5FA5" w:rsidP="00C64D84">
      <w:pPr>
        <w:pStyle w:val="Nvel1-SemNumPreto"/>
      </w:pPr>
      <w:r w:rsidRPr="0020168A">
        <w:t>Habilitação fiscal, social e trabalhista</w:t>
      </w:r>
    </w:p>
    <w:p w14:paraId="7FB1F682" w14:textId="77777777" w:rsidR="006D5FA5" w:rsidRPr="0020168A" w:rsidRDefault="006D5FA5" w:rsidP="0084242C">
      <w:pPr>
        <w:pStyle w:val="Nivel2"/>
      </w:pPr>
      <w:commentRangeStart w:id="31"/>
      <w:r>
        <w:t>Prova de inscrição no Cadastro Nacional de Pessoas Jurídicas ou no Cadastro de Pessoas Físicas, conforme o caso;</w:t>
      </w:r>
    </w:p>
    <w:p w14:paraId="694AC63F" w14:textId="77777777" w:rsidR="006D5FA5" w:rsidRPr="0020168A" w:rsidRDefault="006D5FA5" w:rsidP="0084242C">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20168A" w:rsidRDefault="006D5FA5" w:rsidP="0084242C">
      <w:pPr>
        <w:pStyle w:val="Nivel2"/>
      </w:pPr>
      <w:r>
        <w:t>Prova de regularidade com o Fundo de Garantia do Tempo de Serviço (FGTS);</w:t>
      </w:r>
    </w:p>
    <w:p w14:paraId="5CCA761A" w14:textId="77777777" w:rsidR="006D5FA5" w:rsidRPr="0020168A" w:rsidRDefault="006D5FA5" w:rsidP="0084242C">
      <w:pPr>
        <w:pStyle w:val="Nivel2"/>
      </w:pPr>
      <w: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150DBA4A" w:rsidR="006D5FA5" w:rsidRPr="00D55C32" w:rsidRDefault="006D5FA5" w:rsidP="0084242C">
      <w:pPr>
        <w:pStyle w:val="Nivel2"/>
        <w:rPr>
          <w:color w:val="auto"/>
        </w:rPr>
      </w:pPr>
      <w:r>
        <w:t>Prova de inscrição no cadastro de contribuintes</w:t>
      </w:r>
      <w:r w:rsidRPr="00D55C32">
        <w:rPr>
          <w:color w:val="auto"/>
        </w:rPr>
        <w:t xml:space="preserve"> [Estadual/Distrital] relativo ao domicílio ou sede do fornecedor, pertinente ao seu ramo de atividade e compatível com o objeto contratual; </w:t>
      </w:r>
    </w:p>
    <w:p w14:paraId="4B25C4FC" w14:textId="4AB06FFD" w:rsidR="006D5FA5" w:rsidRPr="00D55C32" w:rsidRDefault="006D5FA5" w:rsidP="0084242C">
      <w:pPr>
        <w:pStyle w:val="Nivel2"/>
        <w:rPr>
          <w:color w:val="auto"/>
        </w:rPr>
      </w:pPr>
      <w:r w:rsidRPr="00D55C32">
        <w:rPr>
          <w:color w:val="auto"/>
        </w:rPr>
        <w:t>Prova de regularidade com a Fazenda [Estadual/Distrital] do domicílio ou sede do fornecedor, relativa à atividade em cujo exercício contrata ou concorre;</w:t>
      </w:r>
      <w:commentRangeEnd w:id="31"/>
      <w:r w:rsidRPr="00D55C32">
        <w:rPr>
          <w:color w:val="auto"/>
        </w:rPr>
        <w:commentReference w:id="31"/>
      </w:r>
    </w:p>
    <w:p w14:paraId="1D305FC3" w14:textId="3198045B" w:rsidR="006D5FA5" w:rsidRPr="0020168A" w:rsidRDefault="006D5FA5" w:rsidP="0084242C">
      <w:pPr>
        <w:pStyle w:val="Nivel2"/>
      </w:pPr>
      <w:r w:rsidRPr="00D55C32">
        <w:rPr>
          <w:color w:val="auto"/>
        </w:rPr>
        <w:t xml:space="preserve">Caso o fornecedor seja considerado isento dos tributos [Estadual/Distrital] </w:t>
      </w:r>
      <w:r>
        <w:t>relacionados ao objeto contratual, deverá comprovar tal condição mediante a apresentação de declaração da Fazenda respectiva do seu domicílio ou sede, ou outra equivalente, na forma da lei.</w:t>
      </w:r>
    </w:p>
    <w:p w14:paraId="63D67802" w14:textId="77777777" w:rsidR="006D5FA5" w:rsidRPr="0020168A" w:rsidRDefault="006D5FA5" w:rsidP="0084242C">
      <w:pPr>
        <w:pStyle w:val="Nivel2"/>
      </w:pPr>
      <w:commentRangeStart w:id="32"/>
      <w:r>
        <w:t>O fornecedor enquadrado como microempreendedor individual que pretenda auferir os benefícios do tratamento diferenciado previstos na Lei Complementar n. 123, de 2006, estará dispensado da prova de inscrição nos cadastros de contribuintes estadual e municipal.</w:t>
      </w:r>
      <w:commentRangeEnd w:id="32"/>
      <w:r>
        <w:commentReference w:id="32"/>
      </w:r>
    </w:p>
    <w:p w14:paraId="272A3416" w14:textId="77777777" w:rsidR="006D5FA5" w:rsidRPr="00036AD7" w:rsidRDefault="006D5FA5" w:rsidP="00036AD7">
      <w:pPr>
        <w:pStyle w:val="Nvel1-SemNumPreto"/>
      </w:pPr>
      <w:commentRangeStart w:id="33"/>
      <w:r w:rsidRPr="00036AD7">
        <w:t>Qualificação Econômico-Financeira</w:t>
      </w:r>
      <w:commentRangeEnd w:id="33"/>
      <w:r w:rsidR="003E4012" w:rsidRPr="00036AD7">
        <w:rPr>
          <w:rStyle w:val="Refdecomentrio"/>
          <w:rFonts w:eastAsiaTheme="minorEastAsia"/>
          <w:b w:val="0"/>
          <w:bCs w:val="0"/>
        </w:rPr>
        <w:commentReference w:id="33"/>
      </w:r>
    </w:p>
    <w:p w14:paraId="3FE7166C" w14:textId="0ED0BD2A" w:rsidR="006D5FA5" w:rsidRPr="0020168A" w:rsidRDefault="006D5FA5" w:rsidP="0084242C">
      <w:pPr>
        <w:pStyle w:val="Nivel2"/>
      </w:pPr>
      <w:r>
        <w:t>Certidão negativa de insolvência civil expedida pelo distribuidor do domicílio ou sede do licitante, caso se trate de pessoa física, desde que admitida a sua participação na licitação (</w:t>
      </w:r>
      <w:hyperlink r:id="rId42" w:anchor="art5">
        <w:r w:rsidRPr="0C492A58">
          <w:rPr>
            <w:rStyle w:val="Hyperlink"/>
          </w:rPr>
          <w:t>art. 5º, inciso II, alínea “c”, da Instrução Normativa Seges/ME nº 116, de 2021</w:t>
        </w:r>
      </w:hyperlink>
      <w:r>
        <w:t xml:space="preserve">), ou de sociedade simples; </w:t>
      </w:r>
    </w:p>
    <w:p w14:paraId="1F54055A" w14:textId="78F5B238" w:rsidR="005B0AFB" w:rsidRDefault="006D5FA5" w:rsidP="0084242C">
      <w:pPr>
        <w:pStyle w:val="Nivel2"/>
      </w:pPr>
      <w:r>
        <w:t xml:space="preserve">Certidão negativa de falência expedida pelo distribuidor da sede do fornecedor - </w:t>
      </w:r>
      <w:hyperlink r:id="rId43" w:anchor="art69">
        <w:r w:rsidRPr="0C492A58">
          <w:rPr>
            <w:rStyle w:val="Hyperlink"/>
          </w:rPr>
          <w:t>Lei nº 14.133, de 2021, art. 69, caput, inciso II</w:t>
        </w:r>
      </w:hyperlink>
      <w:r>
        <w:t>);</w:t>
      </w:r>
    </w:p>
    <w:p w14:paraId="3D30279F" w14:textId="635CBD0E" w:rsidR="005B0AFB" w:rsidRDefault="77E01502" w:rsidP="0084242C">
      <w:pPr>
        <w:pStyle w:val="Nivel2"/>
      </w:pPr>
      <w:r>
        <w:t>B</w:t>
      </w:r>
      <w:r w:rsidR="005B0AFB">
        <w:t>alanço patrimonial, demonstração de resultado de exercício e demais demonstrações contábeis dos 2 (dois) últimos exercícios sociais, comprovando;</w:t>
      </w:r>
    </w:p>
    <w:p w14:paraId="7B6CC4D1" w14:textId="77777777" w:rsidR="005B0AFB" w:rsidRDefault="005B0AFB" w:rsidP="005D30B6">
      <w:pPr>
        <w:pStyle w:val="Nivel3"/>
      </w:pPr>
      <w:r>
        <w:t>índices de Liquidez Geral (LG), Liquidez Corrente (LC), e Solvência Geral (SG) superiores a 1 (um);</w:t>
      </w:r>
    </w:p>
    <w:p w14:paraId="1A6C3A1E" w14:textId="77777777" w:rsidR="00815528" w:rsidRDefault="005B0AFB" w:rsidP="005D30B6">
      <w:pPr>
        <w:pStyle w:val="Nivel3"/>
      </w:pPr>
      <w:r>
        <w:t>As empresas criadas no exercício financeiro da licitação deverão atender a todas as exigências da habilitação e poderão substituir os demonstrativos contábeis pelo balanço de abertura.</w:t>
      </w:r>
    </w:p>
    <w:p w14:paraId="754FCA4D" w14:textId="70B9CD86" w:rsidR="00815528" w:rsidRDefault="1FB398B6" w:rsidP="005D30B6">
      <w:pPr>
        <w:pStyle w:val="Nivel3"/>
      </w:pPr>
      <w:r>
        <w:t>Os documentos referidos acima limitar-se-ão ao último exercício no caso de a pessoa jurídica ter sido constituída há menos de 2 (dois) anos</w:t>
      </w:r>
      <w:r w:rsidR="1280A267">
        <w:t>;</w:t>
      </w:r>
    </w:p>
    <w:p w14:paraId="3226EE61" w14:textId="49AC2207" w:rsidR="1280A267" w:rsidRDefault="1280A267" w:rsidP="005D30B6">
      <w:pPr>
        <w:pStyle w:val="Nivel3"/>
      </w:pPr>
      <w:commentRangeStart w:id="34"/>
      <w:r w:rsidRPr="4EB864CD">
        <w:t xml:space="preserve">Os documentos referidos </w:t>
      </w:r>
      <w:commentRangeEnd w:id="34"/>
      <w:r>
        <w:rPr>
          <w:rStyle w:val="Refdecomentrio"/>
        </w:rPr>
        <w:commentReference w:id="34"/>
      </w:r>
      <w:r w:rsidRPr="4EB864CD">
        <w:t>acima deverão ser exigidos com base no limite definido pela Receita Federal do Brasil para transmissão da Escrituração Contábil Digital - ECD ao Sped.</w:t>
      </w:r>
    </w:p>
    <w:p w14:paraId="109F4688" w14:textId="5DBB5D47" w:rsidR="006D5FA5" w:rsidRPr="005E6F84" w:rsidRDefault="006D5FA5" w:rsidP="0084242C">
      <w:pPr>
        <w:pStyle w:val="Nivel2"/>
      </w:pPr>
      <w:commentRangeStart w:id="35"/>
      <w:r w:rsidRPr="0C492A58">
        <w:t xml:space="preserve">Caso a empresa licitante apresente resultado inferior ou igual a 1 (um) em qualquer dos índices de Liquidez Geral (LG), Solvência Geral (SG) e Liquidez Corrente (LC), será exigido para fins de habilitação </w:t>
      </w:r>
      <w:r w:rsidRPr="00D55C32">
        <w:rPr>
          <w:color w:val="auto"/>
        </w:rPr>
        <w:t xml:space="preserve">patrimônio líquido mínimo de </w:t>
      </w:r>
      <w:r w:rsidR="00D55C32" w:rsidRPr="00D55C32">
        <w:rPr>
          <w:color w:val="auto"/>
        </w:rPr>
        <w:t>5</w:t>
      </w:r>
      <w:r w:rsidRPr="00D55C32">
        <w:rPr>
          <w:color w:val="auto"/>
        </w:rPr>
        <w:t>% do valor total estimado da parcela pertinente.</w:t>
      </w:r>
      <w:commentRangeEnd w:id="35"/>
      <w:r w:rsidRPr="00D55C32">
        <w:rPr>
          <w:color w:val="auto"/>
        </w:rPr>
        <w:commentReference w:id="35"/>
      </w:r>
    </w:p>
    <w:p w14:paraId="0605F521" w14:textId="32D3B83B" w:rsidR="005E6F84" w:rsidRPr="005E6F84" w:rsidRDefault="005E6F84" w:rsidP="0084242C">
      <w:pPr>
        <w:pStyle w:val="Nivel2"/>
      </w:pPr>
      <w:r>
        <w:t>As empresas criadas no exercício financeiro da licitação deverão atender a todas as exigências da habilitação e poderão substituir os demonstrativos contábeis pelo balanço de abertura. (Lei nº 14.133, de 2021, art. 65, §1º).</w:t>
      </w:r>
    </w:p>
    <w:p w14:paraId="58BCCF65" w14:textId="77777777" w:rsidR="006D5FA5" w:rsidRPr="00D55C32" w:rsidRDefault="006D5FA5" w:rsidP="0084242C">
      <w:pPr>
        <w:pStyle w:val="Nvel2-Red"/>
        <w:rPr>
          <w:i w:val="0"/>
          <w:iCs w:val="0"/>
          <w:color w:val="auto"/>
        </w:rPr>
      </w:pPr>
      <w:commentRangeStart w:id="36"/>
      <w:r w:rsidRPr="00D55C32">
        <w:rPr>
          <w:i w:val="0"/>
          <w:iCs w:val="0"/>
          <w:color w:val="auto"/>
        </w:rPr>
        <w:t>O atendimento dos índices econômicos previstos neste item deverá ser atestado mediante declaração assinada por profissional habilitado da área contábil, apresentada pelo fornecedor.</w:t>
      </w:r>
      <w:commentRangeEnd w:id="36"/>
      <w:r w:rsidRPr="00D55C32">
        <w:rPr>
          <w:i w:val="0"/>
          <w:iCs w:val="0"/>
          <w:color w:val="auto"/>
        </w:rPr>
        <w:commentReference w:id="36"/>
      </w:r>
    </w:p>
    <w:p w14:paraId="1ED659CB" w14:textId="77777777" w:rsidR="006D5FA5" w:rsidRPr="0020168A" w:rsidRDefault="006D5FA5" w:rsidP="00036AD7">
      <w:pPr>
        <w:pStyle w:val="Nvel1-SemNumPreto"/>
      </w:pPr>
      <w:commentRangeStart w:id="37"/>
      <w:r w:rsidRPr="0020168A">
        <w:t>Qualificação Técnica</w:t>
      </w:r>
      <w:commentRangeEnd w:id="37"/>
      <w:r w:rsidR="00CE0C33" w:rsidRPr="0020168A">
        <w:rPr>
          <w:rStyle w:val="Refdecomentrio"/>
          <w:rFonts w:eastAsiaTheme="minorEastAsia"/>
          <w:b w:val="0"/>
          <w:bCs w:val="0"/>
        </w:rPr>
        <w:commentReference w:id="37"/>
      </w:r>
    </w:p>
    <w:p w14:paraId="7991AFBF" w14:textId="77777777" w:rsidR="006D5FA5" w:rsidRPr="002F1C3D" w:rsidRDefault="006D5FA5" w:rsidP="0084242C">
      <w:pPr>
        <w:pStyle w:val="Nvel2-Red"/>
        <w:rPr>
          <w:i w:val="0"/>
          <w:iCs w:val="0"/>
          <w:color w:val="auto"/>
        </w:rPr>
      </w:pPr>
      <w:commentRangeStart w:id="38"/>
      <w:r w:rsidRPr="002F1C3D">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5102B3E" w14:textId="77777777" w:rsidR="006D5FA5" w:rsidRPr="0020168A" w:rsidRDefault="006D5FA5" w:rsidP="00D55C32">
      <w:pPr>
        <w:pStyle w:val="Nvel3-R"/>
      </w:pPr>
      <w:r>
        <w:lastRenderedPageBreak/>
        <w:t xml:space="preserve">Para fins da comprovação de que trata este subitem, os atestados deverão dizer respeito a contratos executados com as seguintes características mínimas: </w:t>
      </w:r>
    </w:p>
    <w:p w14:paraId="3857E947" w14:textId="297C5D39" w:rsidR="006D5FA5" w:rsidRPr="00D55C32" w:rsidRDefault="00D55C32" w:rsidP="00D55C32">
      <w:pPr>
        <w:pStyle w:val="Nvel4-R"/>
      </w:pPr>
      <w:r w:rsidRPr="00D55C32">
        <w:t>Atestado de capacidade técnica de fornecimento de itens iguais ou similares da parcela pertinente</w:t>
      </w:r>
    </w:p>
    <w:p w14:paraId="67023B04" w14:textId="77777777" w:rsidR="006D5FA5" w:rsidRPr="0020168A" w:rsidRDefault="006D5FA5" w:rsidP="00D55C32">
      <w:pPr>
        <w:pStyle w:val="Nvel3-R"/>
      </w:pPr>
      <w:r>
        <w:t>Será admitida, para fins de comprovação de quantitativo mínimo, a apresentação e o somatório de diferentes atestados executados de forma concomitante.</w:t>
      </w:r>
      <w:commentRangeEnd w:id="38"/>
      <w:r>
        <w:commentReference w:id="38"/>
      </w:r>
    </w:p>
    <w:p w14:paraId="013D0C7C" w14:textId="77777777" w:rsidR="006D5FA5" w:rsidRPr="0020168A" w:rsidRDefault="006D5FA5" w:rsidP="00D55C32">
      <w:pPr>
        <w:pStyle w:val="Nvel3-R"/>
        <w:rPr>
          <w:shd w:val="clear" w:color="auto" w:fill="FFFF00"/>
        </w:rPr>
      </w:pPr>
      <w:commentRangeStart w:id="39"/>
      <w:r>
        <w:t>Os atestados de capacidade técnica poderão ser apresentados em nome da matriz ou da filial do fornecedor.</w:t>
      </w:r>
      <w:commentRangeEnd w:id="39"/>
      <w:r>
        <w:commentReference w:id="39"/>
      </w:r>
    </w:p>
    <w:p w14:paraId="1893DEE2" w14:textId="77777777" w:rsidR="006D5FA5" w:rsidRPr="0020168A" w:rsidRDefault="006D5FA5" w:rsidP="00D55C32">
      <w:pPr>
        <w:pStyle w:val="Nvel3-R"/>
      </w:pPr>
      <w: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85B9683" w14:textId="77777777" w:rsidR="006D5FA5" w:rsidRPr="0020168A" w:rsidRDefault="006D5FA5" w:rsidP="0084242C">
      <w:pPr>
        <w:pStyle w:val="Nivel2"/>
      </w:pPr>
      <w:r>
        <w:t>Caso admitida a participação de cooperativas, será exigida a seguinte documentação complementar:</w:t>
      </w:r>
    </w:p>
    <w:p w14:paraId="0CA9EE58" w14:textId="4B50F453" w:rsidR="006D5FA5" w:rsidRPr="0020168A" w:rsidRDefault="006D5FA5" w:rsidP="005D30B6">
      <w:pPr>
        <w:pStyle w:val="Nivel3"/>
      </w:pPr>
      <w: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44" w:anchor="art4">
        <w:r w:rsidRPr="0C492A58">
          <w:rPr>
            <w:rStyle w:val="Hyperlink"/>
          </w:rPr>
          <w:t>arts. 4º, inciso XI, 21, inciso I</w:t>
        </w:r>
      </w:hyperlink>
      <w:r>
        <w:t xml:space="preserve"> e </w:t>
      </w:r>
      <w:hyperlink r:id="rId45" w:anchor="art42">
        <w:r w:rsidRPr="0C492A58">
          <w:rPr>
            <w:rStyle w:val="Hyperlink"/>
          </w:rPr>
          <w:t>42, §§2º a 6º da Lei n. 5.764, de 1971</w:t>
        </w:r>
      </w:hyperlink>
      <w:r>
        <w:t>;</w:t>
      </w:r>
    </w:p>
    <w:p w14:paraId="6E2955C5" w14:textId="77777777" w:rsidR="006D5FA5" w:rsidRPr="0020168A" w:rsidRDefault="006D5FA5" w:rsidP="005D30B6">
      <w:pPr>
        <w:pStyle w:val="Nivel3"/>
      </w:pPr>
      <w:r>
        <w:t>A declaração de regularidade de situação do contribuinte individual – DRSCI, para cada um dos cooperados indicados;</w:t>
      </w:r>
    </w:p>
    <w:p w14:paraId="42CC626C" w14:textId="40AFA587" w:rsidR="006D5FA5" w:rsidRPr="0020168A" w:rsidRDefault="006D5FA5" w:rsidP="005D30B6">
      <w:pPr>
        <w:pStyle w:val="Nivel3"/>
      </w:pPr>
      <w:r>
        <w:t xml:space="preserve">A comprovação do capital social proporcional ao número de cooperados necessários à </w:t>
      </w:r>
      <w:r w:rsidR="00C92636">
        <w:t>execução contratual</w:t>
      </w:r>
      <w:r>
        <w:t xml:space="preserve">; </w:t>
      </w:r>
    </w:p>
    <w:p w14:paraId="35E8ACD1" w14:textId="7BB9FE66" w:rsidR="006D5FA5" w:rsidRPr="0020168A" w:rsidRDefault="006D5FA5" w:rsidP="005D30B6">
      <w:pPr>
        <w:pStyle w:val="Nivel3"/>
      </w:pPr>
      <w:r>
        <w:t xml:space="preserve">O registro previsto na </w:t>
      </w:r>
      <w:hyperlink r:id="rId46" w:anchor="art107">
        <w:r w:rsidRPr="0C492A58">
          <w:rPr>
            <w:rStyle w:val="Hyperlink"/>
          </w:rPr>
          <w:t>Lei n. 5.764, de 1971, art. 107</w:t>
        </w:r>
      </w:hyperlink>
      <w:r>
        <w:t>;</w:t>
      </w:r>
    </w:p>
    <w:p w14:paraId="3A3A90C3" w14:textId="77777777" w:rsidR="006D5FA5" w:rsidRPr="0020168A" w:rsidRDefault="006D5FA5" w:rsidP="005D30B6">
      <w:pPr>
        <w:pStyle w:val="Nivel3"/>
      </w:pPr>
      <w:r>
        <w:t xml:space="preserve"> A comprovação de integração das respectivas quotas-partes por parte dos cooperados que executarão o contrato; e</w:t>
      </w:r>
    </w:p>
    <w:p w14:paraId="73D06393" w14:textId="77777777" w:rsidR="006D5FA5" w:rsidRPr="0020168A" w:rsidRDefault="006D5FA5" w:rsidP="005D30B6">
      <w:pPr>
        <w:pStyle w:val="Nivel3"/>
      </w:pPr>
      <w: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C88FD55" w14:textId="29617EA0" w:rsidR="006D5FA5" w:rsidRPr="0020168A" w:rsidRDefault="006D5FA5" w:rsidP="005D30B6">
      <w:pPr>
        <w:pStyle w:val="Nivel3"/>
      </w:pPr>
      <w:r>
        <w:t xml:space="preserve">A última auditoria contábil-financeira da cooperativa, conforme dispõe o </w:t>
      </w:r>
      <w:hyperlink r:id="rId47" w:anchor="art112">
        <w:r w:rsidRPr="0C492A58">
          <w:rPr>
            <w:rStyle w:val="Hyperlink"/>
          </w:rPr>
          <w:t>art. 112 da Lei n. 5.764, de 1971</w:t>
        </w:r>
      </w:hyperlink>
      <w:r>
        <w:t>, ou uma declaração, sob as penas da lei, de que tal auditoria não foi exigida pelo órgão fiscalizador</w:t>
      </w:r>
      <w:r w:rsidR="00D27035">
        <w:t>.</w:t>
      </w:r>
    </w:p>
    <w:p w14:paraId="2DFFCCF7" w14:textId="77777777" w:rsidR="006D5FA5" w:rsidRPr="0020168A" w:rsidRDefault="006D5FA5" w:rsidP="00DA3EF1">
      <w:pPr>
        <w:pStyle w:val="Nivel01"/>
      </w:pPr>
      <w:commentRangeStart w:id="40"/>
      <w:r>
        <w:t>ESTIMATIVAS DO VALOR DA CONTRATAÇÃO</w:t>
      </w:r>
      <w:commentRangeEnd w:id="40"/>
      <w:r>
        <w:commentReference w:id="40"/>
      </w:r>
    </w:p>
    <w:p w14:paraId="4966DB60" w14:textId="7E56B8E8" w:rsidR="006D5FA5" w:rsidRPr="00D55C32" w:rsidRDefault="006D5FA5" w:rsidP="0084242C">
      <w:pPr>
        <w:pStyle w:val="Nvel2-Red"/>
        <w:rPr>
          <w:b/>
          <w:bCs/>
          <w:i w:val="0"/>
          <w:iCs w:val="0"/>
          <w:color w:val="auto"/>
        </w:rPr>
      </w:pPr>
      <w:r w:rsidRPr="00D55C32">
        <w:rPr>
          <w:i w:val="0"/>
          <w:iCs w:val="0"/>
          <w:color w:val="auto"/>
        </w:rPr>
        <w:t>O custo estimado total da contratação é de R$</w:t>
      </w:r>
      <w:r w:rsidR="00D55C32" w:rsidRPr="00D55C32">
        <w:rPr>
          <w:i w:val="0"/>
          <w:iCs w:val="0"/>
          <w:color w:val="auto"/>
        </w:rPr>
        <w:t xml:space="preserve"> 488.687,44</w:t>
      </w:r>
      <w:r w:rsidRPr="00D55C32">
        <w:rPr>
          <w:i w:val="0"/>
          <w:iCs w:val="0"/>
          <w:color w:val="auto"/>
        </w:rPr>
        <w:t xml:space="preserve"> (</w:t>
      </w:r>
      <w:r w:rsidR="00D55C32" w:rsidRPr="00D55C32">
        <w:rPr>
          <w:i w:val="0"/>
          <w:iCs w:val="0"/>
          <w:color w:val="auto"/>
        </w:rPr>
        <w:t>quatrocentos e oitenta e oito mil, seiscentos e oitenta e sete reais e quarenta e quatro centavos</w:t>
      </w:r>
      <w:r w:rsidRPr="00D55C32">
        <w:rPr>
          <w:i w:val="0"/>
          <w:iCs w:val="0"/>
          <w:color w:val="auto"/>
        </w:rPr>
        <w:t>), conforme custos unitários apostos na tabela acima.</w:t>
      </w:r>
    </w:p>
    <w:p w14:paraId="213BF857" w14:textId="77777777" w:rsidR="006D5FA5" w:rsidRPr="0020168A" w:rsidRDefault="006D5FA5" w:rsidP="00DA3EF1">
      <w:pPr>
        <w:pStyle w:val="Nivel01"/>
      </w:pPr>
      <w:r w:rsidRPr="00DA3EF1">
        <w:t>ADEQUAÇÃO</w:t>
      </w:r>
      <w:r>
        <w:t xml:space="preserve"> ORÇAMENTÁRIA</w:t>
      </w:r>
    </w:p>
    <w:p w14:paraId="14B2DDDA" w14:textId="77777777" w:rsidR="006D5FA5" w:rsidRPr="0020168A" w:rsidRDefault="006D5FA5" w:rsidP="0084242C">
      <w:pPr>
        <w:pStyle w:val="Nivel2"/>
      </w:pPr>
      <w:r w:rsidRPr="60CBE1EE">
        <w:t xml:space="preserve">As </w:t>
      </w:r>
      <w:r w:rsidRPr="00DA3EF1">
        <w:t>despesas</w:t>
      </w:r>
      <w:r w:rsidRPr="60CBE1EE">
        <w:t xml:space="preserve"> </w:t>
      </w:r>
      <w:r w:rsidRPr="00DA3EF1">
        <w:t>decorrentes</w:t>
      </w:r>
      <w:r w:rsidRPr="60CBE1EE">
        <w:t xml:space="preserve"> da presente contratação correrão à conta de recursos específicos consignados no Orçamento Geral da União.</w:t>
      </w:r>
    </w:p>
    <w:bookmarkEnd w:id="0"/>
    <w:p w14:paraId="39D2BAB7" w14:textId="77777777" w:rsidR="002F0A51" w:rsidRPr="00A942D4" w:rsidRDefault="002F0A51" w:rsidP="002F0A51">
      <w:pPr>
        <w:pStyle w:val="Nivel3"/>
      </w:pPr>
      <w:r w:rsidRPr="005468C1">
        <w:rPr>
          <w:rFonts w:hint="eastAsia"/>
        </w:rPr>
        <w:t>A indicação da disponibilidade de créditos orçamentários somente será exigida para a formalização do contrato ou de outro instrumento hábil.</w:t>
      </w:r>
    </w:p>
    <w:p w14:paraId="6451D03A" w14:textId="77777777" w:rsidR="002F0A51" w:rsidRPr="002F0A51" w:rsidRDefault="002F0A51" w:rsidP="002F0A51">
      <w:pPr>
        <w:pStyle w:val="Nvel2-Red"/>
        <w:rPr>
          <w:i w:val="0"/>
          <w:iCs w:val="0"/>
          <w:color w:val="auto"/>
        </w:rPr>
      </w:pPr>
      <w:commentRangeStart w:id="41"/>
      <w:r w:rsidRPr="002F0A51">
        <w:rPr>
          <w:i w:val="0"/>
          <w:iCs w:val="0"/>
          <w:color w:val="auto"/>
        </w:rPr>
        <w:lastRenderedPageBreak/>
        <w:t>A dotação relativa aos exercícios financeiros subsequentes será indicada após aprovação da Lei Orçamentária respectiva e liberação dos créditos correspondentes, mediante apostilamento.</w:t>
      </w:r>
      <w:commentRangeEnd w:id="41"/>
      <w:r w:rsidRPr="002F0A51">
        <w:rPr>
          <w:rStyle w:val="Refdecomentrio"/>
          <w:i w:val="0"/>
          <w:iCs w:val="0"/>
          <w:color w:val="auto"/>
        </w:rPr>
        <w:commentReference w:id="41"/>
      </w:r>
    </w:p>
    <w:p w14:paraId="31AE216E" w14:textId="77777777" w:rsidR="002F0A51" w:rsidRDefault="002F0A51" w:rsidP="002F0A51">
      <w:pPr>
        <w:pStyle w:val="Textbody0"/>
        <w:tabs>
          <w:tab w:val="left" w:pos="555"/>
          <w:tab w:val="left" w:pos="840"/>
          <w:tab w:val="left" w:pos="1140"/>
          <w:tab w:val="left" w:pos="1395"/>
          <w:tab w:val="left" w:pos="1650"/>
          <w:tab w:val="left" w:pos="1965"/>
          <w:tab w:val="left" w:pos="2220"/>
          <w:tab w:val="left" w:leader="underscore" w:pos="7336"/>
        </w:tabs>
        <w:spacing w:before="120" w:after="0"/>
        <w:jc w:val="both"/>
        <w:rPr>
          <w:rFonts w:ascii="Arial" w:hAnsi="Arial" w:cs="Arial"/>
        </w:rPr>
      </w:pPr>
    </w:p>
    <w:p w14:paraId="00454312" w14:textId="45F51462" w:rsidR="002F0A51" w:rsidRDefault="002F0A51" w:rsidP="002F0A51">
      <w:pPr>
        <w:pStyle w:val="Textbody0"/>
        <w:tabs>
          <w:tab w:val="left" w:pos="555"/>
          <w:tab w:val="left" w:pos="840"/>
          <w:tab w:val="left" w:pos="1140"/>
          <w:tab w:val="left" w:pos="1395"/>
          <w:tab w:val="left" w:pos="1650"/>
          <w:tab w:val="left" w:pos="1965"/>
          <w:tab w:val="left" w:pos="2220"/>
          <w:tab w:val="left" w:leader="underscore" w:pos="7336"/>
        </w:tabs>
        <w:spacing w:before="120" w:after="0"/>
        <w:jc w:val="both"/>
        <w:rPr>
          <w:rFonts w:ascii="Arial" w:hAnsi="Arial" w:cs="Arial"/>
          <w:sz w:val="20"/>
          <w:szCs w:val="20"/>
        </w:rPr>
      </w:pPr>
      <w:r w:rsidRPr="005468C1">
        <w:rPr>
          <w:rFonts w:ascii="Arial" w:hAnsi="Arial" w:cs="Arial"/>
          <w:sz w:val="20"/>
          <w:szCs w:val="20"/>
        </w:rPr>
        <w:t xml:space="preserve">Rio de Janeiro – RJ, </w:t>
      </w:r>
      <w:r w:rsidR="00A94DA9">
        <w:rPr>
          <w:rFonts w:ascii="Arial" w:hAnsi="Arial" w:cs="Arial"/>
          <w:sz w:val="20"/>
          <w:szCs w:val="20"/>
        </w:rPr>
        <w:t>22</w:t>
      </w:r>
      <w:r w:rsidR="00D55C32">
        <w:rPr>
          <w:rFonts w:ascii="Arial" w:hAnsi="Arial" w:cs="Arial"/>
          <w:sz w:val="20"/>
          <w:szCs w:val="20"/>
        </w:rPr>
        <w:t xml:space="preserve"> </w:t>
      </w:r>
      <w:r>
        <w:rPr>
          <w:rFonts w:ascii="Arial" w:hAnsi="Arial" w:cs="Arial"/>
          <w:sz w:val="20"/>
          <w:szCs w:val="20"/>
        </w:rPr>
        <w:t xml:space="preserve">de maio de </w:t>
      </w:r>
      <w:r w:rsidRPr="005468C1">
        <w:rPr>
          <w:rFonts w:ascii="Arial" w:hAnsi="Arial" w:cs="Arial"/>
          <w:sz w:val="20"/>
          <w:szCs w:val="20"/>
        </w:rPr>
        <w:t>2024</w:t>
      </w:r>
    </w:p>
    <w:p w14:paraId="7C2AAF4D" w14:textId="77777777" w:rsidR="002F0A51" w:rsidRDefault="002F0A51" w:rsidP="002F0A51">
      <w:pPr>
        <w:pStyle w:val="Textbody0"/>
        <w:tabs>
          <w:tab w:val="left" w:pos="555"/>
          <w:tab w:val="left" w:pos="840"/>
          <w:tab w:val="left" w:pos="1140"/>
          <w:tab w:val="left" w:pos="1395"/>
          <w:tab w:val="left" w:pos="1650"/>
          <w:tab w:val="left" w:pos="1965"/>
          <w:tab w:val="left" w:pos="2220"/>
          <w:tab w:val="left" w:leader="underscore" w:pos="7336"/>
        </w:tabs>
        <w:spacing w:before="120" w:after="0"/>
        <w:jc w:val="both"/>
        <w:rPr>
          <w:rFonts w:ascii="Arial" w:hAnsi="Arial" w:cs="Arial"/>
          <w:sz w:val="20"/>
          <w:szCs w:val="20"/>
        </w:rPr>
      </w:pPr>
    </w:p>
    <w:p w14:paraId="0C940BCC" w14:textId="77777777" w:rsidR="002F0A51" w:rsidRDefault="002F0A51" w:rsidP="002F0A51">
      <w:pPr>
        <w:pStyle w:val="Textbody0"/>
        <w:tabs>
          <w:tab w:val="left" w:pos="555"/>
          <w:tab w:val="left" w:pos="840"/>
          <w:tab w:val="left" w:pos="1140"/>
          <w:tab w:val="left" w:pos="1395"/>
          <w:tab w:val="left" w:pos="1650"/>
          <w:tab w:val="left" w:pos="1965"/>
          <w:tab w:val="left" w:pos="2220"/>
          <w:tab w:val="left" w:leader="underscore" w:pos="7336"/>
        </w:tabs>
        <w:spacing w:before="120" w:after="0"/>
        <w:jc w:val="both"/>
        <w:rPr>
          <w:rFonts w:ascii="Arial" w:hAnsi="Arial" w:cs="Arial"/>
          <w:sz w:val="20"/>
          <w:szCs w:val="20"/>
        </w:rPr>
      </w:pPr>
    </w:p>
    <w:p w14:paraId="2695457C" w14:textId="77777777" w:rsidR="002F0A51" w:rsidRPr="005468C1" w:rsidRDefault="002F0A51" w:rsidP="002F0A51">
      <w:pPr>
        <w:pStyle w:val="Textbody0"/>
        <w:tabs>
          <w:tab w:val="left" w:pos="555"/>
          <w:tab w:val="left" w:pos="840"/>
          <w:tab w:val="left" w:pos="1140"/>
          <w:tab w:val="left" w:pos="1395"/>
          <w:tab w:val="left" w:pos="1650"/>
          <w:tab w:val="left" w:pos="1965"/>
          <w:tab w:val="left" w:pos="2220"/>
          <w:tab w:val="left" w:leader="underscore" w:pos="7336"/>
        </w:tabs>
        <w:spacing w:before="120" w:after="0"/>
        <w:jc w:val="both"/>
        <w:rPr>
          <w:rFonts w:ascii="Arial" w:hAnsi="Arial" w:cs="Arial"/>
          <w:sz w:val="20"/>
          <w:szCs w:val="20"/>
        </w:rPr>
      </w:pPr>
    </w:p>
    <w:p w14:paraId="02E3C7F8" w14:textId="5B4D6EB4" w:rsidR="002F0A51" w:rsidRPr="00D55C32" w:rsidRDefault="002F0A51" w:rsidP="00D55C32">
      <w:pPr>
        <w:pStyle w:val="Textbody0"/>
        <w:tabs>
          <w:tab w:val="left" w:pos="555"/>
          <w:tab w:val="left" w:pos="840"/>
          <w:tab w:val="left" w:pos="1140"/>
          <w:tab w:val="left" w:pos="1395"/>
          <w:tab w:val="left" w:pos="1650"/>
          <w:tab w:val="left" w:pos="1965"/>
          <w:tab w:val="left" w:pos="2220"/>
          <w:tab w:val="left" w:leader="underscore" w:pos="7336"/>
        </w:tabs>
        <w:spacing w:before="120" w:after="0"/>
        <w:jc w:val="both"/>
        <w:rPr>
          <w:rFonts w:ascii="Arial" w:hAnsi="Arial" w:cs="Arial"/>
          <w:color w:val="FF3333"/>
        </w:rPr>
      </w:pPr>
      <w:r w:rsidRPr="00A942D4">
        <w:rPr>
          <w:rFonts w:ascii="Arial" w:hAnsi="Arial" w:cs="Arial"/>
        </w:rPr>
        <w:tab/>
      </w:r>
    </w:p>
    <w:p w14:paraId="777B3887" w14:textId="77777777" w:rsidR="002F0A51" w:rsidRPr="005468C1" w:rsidRDefault="002F0A51" w:rsidP="002F0A51">
      <w:pPr>
        <w:pStyle w:val="Textbody0"/>
        <w:spacing w:after="0"/>
        <w:jc w:val="center"/>
        <w:rPr>
          <w:rFonts w:ascii="Arial" w:hAnsi="Arial" w:cs="Arial"/>
          <w:b/>
          <w:bCs/>
          <w:sz w:val="20"/>
          <w:szCs w:val="20"/>
          <w:lang w:eastAsia="en-US"/>
        </w:rPr>
      </w:pPr>
      <w:r w:rsidRPr="005468C1">
        <w:rPr>
          <w:rFonts w:ascii="Arial" w:hAnsi="Arial" w:cs="Arial"/>
          <w:sz w:val="20"/>
          <w:szCs w:val="20"/>
          <w:lang w:eastAsia="en-US"/>
        </w:rPr>
        <w:t xml:space="preserve">RENAN DE SOUZA </w:t>
      </w:r>
      <w:r w:rsidRPr="005468C1">
        <w:rPr>
          <w:rFonts w:ascii="Arial" w:hAnsi="Arial" w:cs="Arial"/>
          <w:b/>
          <w:bCs/>
          <w:sz w:val="20"/>
          <w:szCs w:val="20"/>
          <w:lang w:eastAsia="en-US"/>
        </w:rPr>
        <w:t xml:space="preserve">LOFIEGO – 3º Sgt </w:t>
      </w:r>
    </w:p>
    <w:p w14:paraId="4D347F2B" w14:textId="44FCFD9A" w:rsidR="002F0A51" w:rsidRPr="005468C1" w:rsidRDefault="00D55C32" w:rsidP="002F0A51">
      <w:pPr>
        <w:pStyle w:val="Textbody0"/>
        <w:spacing w:after="0"/>
        <w:jc w:val="center"/>
        <w:rPr>
          <w:rFonts w:ascii="Arial" w:hAnsi="Arial" w:cs="Arial"/>
          <w:b/>
          <w:bCs/>
          <w:sz w:val="20"/>
          <w:szCs w:val="20"/>
          <w:lang w:eastAsia="en-US"/>
        </w:rPr>
      </w:pPr>
      <w:r>
        <w:rPr>
          <w:rFonts w:ascii="Arial" w:hAnsi="Arial" w:cs="Arial"/>
          <w:b/>
          <w:bCs/>
          <w:sz w:val="20"/>
          <w:szCs w:val="20"/>
          <w:lang w:eastAsia="en-US"/>
        </w:rPr>
        <w:t>Equipe de planejamento</w:t>
      </w:r>
    </w:p>
    <w:p w14:paraId="71FF6338" w14:textId="77777777" w:rsidR="002F0A51" w:rsidRDefault="002F0A51" w:rsidP="002F0A51">
      <w:pPr>
        <w:pStyle w:val="Textbody0"/>
        <w:jc w:val="center"/>
        <w:rPr>
          <w:rFonts w:ascii="Arial" w:hAnsi="Arial" w:cs="Arial"/>
          <w:b/>
          <w:bCs/>
          <w:sz w:val="20"/>
          <w:szCs w:val="20"/>
          <w:lang w:eastAsia="en-US"/>
        </w:rPr>
      </w:pPr>
    </w:p>
    <w:p w14:paraId="6D8E49EF" w14:textId="77777777" w:rsidR="002F0A51" w:rsidRPr="005468C1" w:rsidRDefault="002F0A51" w:rsidP="002F0A51">
      <w:pPr>
        <w:pStyle w:val="Textbody0"/>
        <w:jc w:val="center"/>
        <w:rPr>
          <w:rFonts w:ascii="Arial" w:hAnsi="Arial" w:cs="Arial"/>
          <w:b/>
          <w:bCs/>
          <w:sz w:val="20"/>
          <w:szCs w:val="20"/>
          <w:lang w:eastAsia="en-US"/>
        </w:rPr>
      </w:pPr>
    </w:p>
    <w:p w14:paraId="06B759ED" w14:textId="77777777" w:rsidR="002F0A51" w:rsidRPr="005468C1" w:rsidRDefault="002F0A51" w:rsidP="002F0A51">
      <w:pPr>
        <w:pStyle w:val="Corpodetexto"/>
        <w:spacing w:before="15"/>
        <w:ind w:right="2235"/>
        <w:jc w:val="both"/>
        <w:rPr>
          <w:rFonts w:ascii="Arial" w:hAnsi="Arial" w:cs="Arial"/>
          <w:sz w:val="20"/>
          <w:szCs w:val="20"/>
        </w:rPr>
      </w:pPr>
      <w:r w:rsidRPr="005468C1">
        <w:rPr>
          <w:rFonts w:ascii="Arial" w:hAnsi="Arial" w:cs="Arial"/>
          <w:b/>
          <w:bCs/>
          <w:sz w:val="20"/>
          <w:szCs w:val="20"/>
        </w:rPr>
        <w:t>APROVAÇÃO DO TERMO DE REFERÊNCIA</w:t>
      </w:r>
    </w:p>
    <w:p w14:paraId="43019591" w14:textId="77777777" w:rsidR="002F0A51" w:rsidRPr="005468C1" w:rsidRDefault="002F0A51" w:rsidP="002F0A51">
      <w:pPr>
        <w:pStyle w:val="Corpodetexto"/>
        <w:spacing w:before="15" w:line="276" w:lineRule="auto"/>
        <w:jc w:val="both"/>
        <w:rPr>
          <w:rFonts w:ascii="Arial" w:hAnsi="Arial" w:cs="Arial"/>
          <w:sz w:val="20"/>
          <w:szCs w:val="20"/>
        </w:rPr>
      </w:pPr>
      <w:r w:rsidRPr="005468C1">
        <w:rPr>
          <w:rFonts w:ascii="Arial" w:hAnsi="Arial" w:cs="Arial"/>
          <w:sz w:val="20"/>
          <w:szCs w:val="20"/>
        </w:rPr>
        <w:tab/>
        <w:t>Aprovo este instrumento e reconheço à necessidade do objeto nele proposto, à medida que a partir da aquisição dos respectivos materiais, esta Unidade terá condições de melhor executar sua rotina administrativa.</w:t>
      </w:r>
    </w:p>
    <w:p w14:paraId="2ED3A58E" w14:textId="77777777" w:rsidR="002F0A51" w:rsidRPr="005468C1" w:rsidRDefault="002F0A51" w:rsidP="002F0A51">
      <w:pPr>
        <w:pStyle w:val="Corpodetexto"/>
        <w:spacing w:before="15" w:line="276" w:lineRule="auto"/>
        <w:jc w:val="both"/>
        <w:rPr>
          <w:rFonts w:ascii="Arial" w:hAnsi="Arial" w:cs="Arial"/>
          <w:sz w:val="20"/>
          <w:szCs w:val="20"/>
        </w:rPr>
      </w:pPr>
      <w:r w:rsidRPr="005468C1">
        <w:rPr>
          <w:rFonts w:ascii="Arial" w:hAnsi="Arial" w:cs="Arial"/>
          <w:sz w:val="20"/>
          <w:szCs w:val="20"/>
        </w:rPr>
        <w:tab/>
        <w:t>Neste sentido reitero plena concordância com os elementos técnicos e fundamentais inerentes a este instrumento, sobretudo na justificativa para as aquisições, bem como na aferição do preço de mercado elaborado pelo setor requisitante.</w:t>
      </w:r>
    </w:p>
    <w:p w14:paraId="0883162D" w14:textId="77777777" w:rsidR="002F0A51" w:rsidRPr="005468C1" w:rsidRDefault="002F0A51" w:rsidP="002F0A51">
      <w:pPr>
        <w:pStyle w:val="Corpodetexto"/>
        <w:spacing w:before="15" w:line="276" w:lineRule="auto"/>
        <w:jc w:val="both"/>
        <w:rPr>
          <w:rFonts w:ascii="Arial" w:hAnsi="Arial" w:cs="Arial"/>
          <w:sz w:val="20"/>
          <w:szCs w:val="20"/>
        </w:rPr>
      </w:pPr>
      <w:r w:rsidRPr="005468C1">
        <w:rPr>
          <w:rFonts w:ascii="Arial" w:hAnsi="Arial" w:cs="Arial"/>
          <w:sz w:val="20"/>
          <w:szCs w:val="20"/>
        </w:rPr>
        <w:tab/>
        <w:t xml:space="preserve">Por conseguinte, sejam adotadas as medidas para efetivação </w:t>
      </w:r>
      <w:r>
        <w:rPr>
          <w:rFonts w:ascii="Arial" w:hAnsi="Arial" w:cs="Arial"/>
          <w:sz w:val="20"/>
          <w:szCs w:val="20"/>
        </w:rPr>
        <w:t>do pregão eletrônico</w:t>
      </w:r>
      <w:r w:rsidRPr="005468C1">
        <w:rPr>
          <w:rFonts w:ascii="Arial" w:hAnsi="Arial" w:cs="Arial"/>
          <w:sz w:val="20"/>
          <w:szCs w:val="20"/>
        </w:rPr>
        <w:t>, autuando-se o processo pelo Sistema Registro de Preços.</w:t>
      </w:r>
    </w:p>
    <w:p w14:paraId="27F66ACE" w14:textId="77777777" w:rsidR="002F0A51" w:rsidRDefault="002F0A51" w:rsidP="002F0A51">
      <w:pPr>
        <w:pStyle w:val="Corpodetexto"/>
        <w:spacing w:before="15"/>
        <w:ind w:right="2235"/>
        <w:rPr>
          <w:rFonts w:ascii="Arial" w:hAnsi="Arial" w:cs="Arial"/>
          <w:sz w:val="20"/>
          <w:szCs w:val="20"/>
        </w:rPr>
      </w:pPr>
    </w:p>
    <w:p w14:paraId="336C2BFD" w14:textId="77777777" w:rsidR="002F0A51" w:rsidRPr="005468C1" w:rsidRDefault="002F0A51" w:rsidP="002F0A51">
      <w:pPr>
        <w:pStyle w:val="Corpodetexto"/>
        <w:spacing w:before="15"/>
        <w:ind w:right="2235"/>
        <w:rPr>
          <w:rFonts w:ascii="Arial" w:hAnsi="Arial" w:cs="Arial"/>
          <w:sz w:val="20"/>
          <w:szCs w:val="20"/>
        </w:rPr>
      </w:pPr>
    </w:p>
    <w:p w14:paraId="57E069DE" w14:textId="77777777" w:rsidR="002F0A51" w:rsidRDefault="002F0A51" w:rsidP="002F0A51">
      <w:pPr>
        <w:pStyle w:val="Corpodetexto"/>
        <w:spacing w:before="15" w:line="276" w:lineRule="auto"/>
        <w:jc w:val="center"/>
        <w:rPr>
          <w:rFonts w:ascii="Arial" w:hAnsi="Arial" w:cs="Arial"/>
          <w:b/>
          <w:bCs/>
          <w:sz w:val="20"/>
          <w:szCs w:val="20"/>
        </w:rPr>
      </w:pPr>
    </w:p>
    <w:p w14:paraId="574A4523" w14:textId="77777777" w:rsidR="002F0A51" w:rsidRDefault="002F0A51" w:rsidP="002F0A51">
      <w:pPr>
        <w:pStyle w:val="Corpodetexto"/>
        <w:spacing w:before="15" w:line="276" w:lineRule="auto"/>
        <w:jc w:val="center"/>
        <w:rPr>
          <w:rFonts w:ascii="Arial" w:hAnsi="Arial" w:cs="Arial"/>
          <w:b/>
          <w:bCs/>
          <w:sz w:val="20"/>
          <w:szCs w:val="20"/>
        </w:rPr>
      </w:pPr>
    </w:p>
    <w:p w14:paraId="574B213C" w14:textId="77777777" w:rsidR="002F0A51" w:rsidRPr="005468C1" w:rsidRDefault="002F0A51" w:rsidP="002F0A51">
      <w:pPr>
        <w:pStyle w:val="Corpodetexto"/>
        <w:spacing w:before="15" w:line="276" w:lineRule="auto"/>
        <w:jc w:val="center"/>
        <w:rPr>
          <w:rFonts w:ascii="Arial" w:hAnsi="Arial" w:cs="Arial"/>
          <w:b/>
          <w:bCs/>
          <w:sz w:val="20"/>
          <w:szCs w:val="20"/>
        </w:rPr>
      </w:pPr>
    </w:p>
    <w:p w14:paraId="7846EC9C" w14:textId="77777777" w:rsidR="002F0A51" w:rsidRPr="005468C1" w:rsidRDefault="002F0A51" w:rsidP="002F0A51">
      <w:pPr>
        <w:pStyle w:val="Corpodetexto"/>
        <w:spacing w:before="0" w:after="0" w:line="276" w:lineRule="auto"/>
        <w:jc w:val="center"/>
        <w:rPr>
          <w:rFonts w:ascii="Arial" w:hAnsi="Arial" w:cs="Arial"/>
          <w:sz w:val="20"/>
          <w:szCs w:val="20"/>
        </w:rPr>
      </w:pPr>
      <w:r w:rsidRPr="005468C1">
        <w:rPr>
          <w:rFonts w:ascii="Arial" w:hAnsi="Arial" w:cs="Arial"/>
          <w:b/>
          <w:bCs/>
          <w:sz w:val="20"/>
          <w:szCs w:val="20"/>
        </w:rPr>
        <w:t>ALINSON DE PAULA – Cel</w:t>
      </w:r>
    </w:p>
    <w:p w14:paraId="633F747C" w14:textId="3B4AA4EC" w:rsidR="00DC41DD" w:rsidRPr="0020168A" w:rsidRDefault="002F0A51" w:rsidP="002F0A51">
      <w:pPr>
        <w:pStyle w:val="Corpodetexto"/>
        <w:spacing w:before="0" w:after="0" w:line="276" w:lineRule="auto"/>
        <w:jc w:val="center"/>
        <w:rPr>
          <w:rFonts w:ascii="Arial" w:hAnsi="Arial" w:cs="Arial"/>
          <w:sz w:val="20"/>
          <w:szCs w:val="20"/>
        </w:rPr>
      </w:pPr>
      <w:r w:rsidRPr="005468C1">
        <w:rPr>
          <w:rFonts w:ascii="Arial" w:eastAsia="Arial" w:hAnsi="Arial" w:cs="Arial"/>
          <w:color w:val="000000"/>
          <w:sz w:val="20"/>
          <w:szCs w:val="20"/>
        </w:rPr>
        <w:t>Ordenador de Despesas da Base de Administração e Apoio da 1ª Região Militar</w:t>
      </w:r>
    </w:p>
    <w:sectPr w:rsidR="00DC41DD" w:rsidRPr="0020168A" w:rsidSect="009605C0">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Autor" w:initials="A">
    <w:p w14:paraId="058986F9" w14:textId="632F9F28" w:rsidR="00112FEA" w:rsidRDefault="5F6C245C" w:rsidP="5F6C245C">
      <w:pPr>
        <w:pStyle w:val="Textodecomentrio"/>
        <w:rPr>
          <w:rFonts w:hint="eastAsia"/>
        </w:rPr>
      </w:pPr>
      <w:r w:rsidRPr="5F6C245C">
        <w:rPr>
          <w:b/>
          <w:bCs/>
          <w:i/>
          <w:iCs/>
          <w:color w:val="000000" w:themeColor="text1"/>
        </w:rPr>
        <w:t>ORIENTAÇÕES PARA USO DO MODELO – LEITURA OBRIGATÓRIA</w:t>
      </w:r>
      <w:r w:rsidR="00112FEA">
        <w:rPr>
          <w:rStyle w:val="Refdecomentrio"/>
        </w:rPr>
        <w:annotationRef/>
      </w:r>
    </w:p>
    <w:p w14:paraId="2E1A545C" w14:textId="008D5AC4" w:rsidR="00112FEA" w:rsidRDefault="5F6C245C" w:rsidP="5F6C245C">
      <w:pPr>
        <w:pStyle w:val="Textodecomentrio"/>
        <w:rPr>
          <w:rFonts w:hint="eastAsia"/>
        </w:rPr>
      </w:pPr>
      <w:r w:rsidRPr="5F6C245C">
        <w:rPr>
          <w:b/>
          <w:bCs/>
          <w:i/>
          <w:iCs/>
          <w:color w:val="000000" w:themeColor="text1"/>
        </w:rPr>
        <w:t xml:space="preserve">1) </w:t>
      </w:r>
      <w:r w:rsidRPr="5F6C245C">
        <w:rPr>
          <w:i/>
          <w:iCs/>
          <w:color w:val="000000" w:themeColor="text1"/>
        </w:rPr>
        <w:t xml:space="preserve">O presente modelo de Termo de Referência procura fornecer um ponto de partida para a definição do objeto e condições da contratação. </w:t>
      </w:r>
      <w:r w:rsidRPr="5F6C245C">
        <w:rPr>
          <w:b/>
          <w:bCs/>
          <w:i/>
          <w:iCs/>
          <w:color w:val="000000" w:themeColor="text1"/>
        </w:rPr>
        <w:t>Este é o documento que mais terá variação de conteúdo, de acordo com as peculiaridades da demanda da Administração e do objeto a ser contratado.</w:t>
      </w:r>
      <w:r w:rsidRPr="5F6C245C">
        <w:rPr>
          <w:i/>
          <w:iCs/>
          <w:color w:val="000000" w:themeColor="text1"/>
        </w:rPr>
        <w:t xml:space="preserve"> Assim, não se deve prender ao texto apresentado, mas sim trabalhá-lo à luz dos pontos fundamentais da contratação, sempre de forma clara e objetiva.</w:t>
      </w:r>
    </w:p>
    <w:p w14:paraId="3FA21628" w14:textId="5DFB377C" w:rsidR="00112FEA" w:rsidRDefault="5F6C245C" w:rsidP="5F6C245C">
      <w:pPr>
        <w:pStyle w:val="Textodecomentrio"/>
        <w:rPr>
          <w:rFonts w:hint="eastAsia"/>
        </w:rPr>
      </w:pPr>
      <w:r w:rsidRPr="5F6C245C">
        <w:rPr>
          <w:b/>
          <w:bCs/>
          <w:i/>
          <w:iCs/>
          <w:color w:val="000000" w:themeColor="text1"/>
        </w:rPr>
        <w:t xml:space="preserve">2) </w:t>
      </w:r>
      <w:r w:rsidRPr="5F6C245C">
        <w:rPr>
          <w:i/>
          <w:iCs/>
          <w:color w:val="000000" w:themeColor="text1"/>
        </w:rPr>
        <w:t xml:space="preserve">A redação em preto consiste no que se espera ser invariável. Ela até pode sofrer modificações a depender do caso concreto, mas não são disposições feitas para variar. Por essa razão, </w:t>
      </w:r>
      <w:r w:rsidRPr="5F6C245C">
        <w:rPr>
          <w:b/>
          <w:bCs/>
          <w:i/>
          <w:iCs/>
          <w:color w:val="000000" w:themeColor="text1"/>
        </w:rPr>
        <w:t>quaisquer modificações nas partes em preto, sem marcação de itálico, devem necessariamente ser justificadas nos autos</w:t>
      </w:r>
      <w:r w:rsidRPr="5F6C245C">
        <w:rPr>
          <w:i/>
          <w:iCs/>
          <w:color w:val="000000" w:themeColor="text1"/>
        </w:rPr>
        <w:t>, sem prejuízo de eventual consulta ao órgão de assessoramento jurídico respectivo, a depender da matéria.</w:t>
      </w:r>
    </w:p>
    <w:p w14:paraId="5CA6119A" w14:textId="303BEEDB" w:rsidR="00112FEA" w:rsidRDefault="5F6C245C" w:rsidP="5F6C245C">
      <w:pPr>
        <w:pStyle w:val="Textodecomentrio"/>
        <w:rPr>
          <w:rFonts w:hint="eastAsia"/>
        </w:rPr>
      </w:pPr>
      <w:r w:rsidRPr="5F6C245C">
        <w:rPr>
          <w:b/>
          <w:bCs/>
          <w:i/>
          <w:iCs/>
          <w:color w:val="000000" w:themeColor="text1"/>
        </w:rPr>
        <w:t>3) Os itens deste modelo destacados em vermelho itálico devem ser preenchidos ou adotados pelo órgão ou entidade pública contratante segundo critérios de oportunidade e conveniência</w:t>
      </w:r>
      <w:r w:rsidRPr="5F6C245C">
        <w:rPr>
          <w:i/>
          <w:iCs/>
          <w:color w:val="000000" w:themeColor="text1"/>
        </w:rPr>
        <w:t>, de acordo com as peculiaridades do objeto e cuidando-se para que sejam reproduzidas as mesmas definições nos demais instrumentos da contratação (minuta de Edital e de Contrato), para que não conflitem. São previsões feitas para variarem. Eventuais justificativas podem ser exigidas a depender do caso.</w:t>
      </w:r>
    </w:p>
    <w:p w14:paraId="3D0777BC" w14:textId="2F55CE85" w:rsidR="00112FEA" w:rsidRDefault="5F6C245C" w:rsidP="5F6C245C">
      <w:pPr>
        <w:pStyle w:val="Textodecomentrio"/>
        <w:rPr>
          <w:rFonts w:hint="eastAsia"/>
        </w:rPr>
      </w:pPr>
      <w:r w:rsidRPr="5F6C245C">
        <w:rPr>
          <w:b/>
          <w:bCs/>
          <w:i/>
          <w:iCs/>
          <w:color w:val="000000" w:themeColor="text1"/>
        </w:rPr>
        <w:t>4) Alguns itens receberam notas explicativas, destacadas para compreensão do agente ou setor responsável pela elaboração do Termo de Referência</w:t>
      </w:r>
      <w:r w:rsidRPr="5F6C245C">
        <w:rPr>
          <w:i/>
          <w:iCs/>
          <w:color w:val="000000" w:themeColor="text1"/>
        </w:rPr>
        <w:t>, que deverão ser devidamente suprimidas ao se finalizar o documento na versão original.</w:t>
      </w:r>
    </w:p>
    <w:p w14:paraId="0FC3DCDD" w14:textId="6BC462E9" w:rsidR="00112FEA" w:rsidRDefault="5F6C245C" w:rsidP="5F6C245C">
      <w:pPr>
        <w:pStyle w:val="Textodecomentrio"/>
        <w:rPr>
          <w:rFonts w:hint="eastAsia"/>
        </w:rPr>
      </w:pPr>
      <w:r w:rsidRPr="5F6C245C">
        <w:rPr>
          <w:b/>
          <w:bCs/>
          <w:i/>
          <w:iCs/>
          <w:color w:val="000000" w:themeColor="text1"/>
        </w:rPr>
        <w:t>5) Recomenda-se indicar no processo a versão (mês e ano) utilizada para elaboração da minuta</w:t>
      </w:r>
      <w:r w:rsidRPr="5F6C245C">
        <w:rPr>
          <w:i/>
          <w:iCs/>
          <w:color w:val="000000" w:themeColor="text1"/>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14:paraId="0DCE827E" w14:textId="5E950134" w:rsidR="00112FEA" w:rsidRDefault="5F6C245C" w:rsidP="5F6C245C">
      <w:pPr>
        <w:pStyle w:val="Textodecomentrio"/>
        <w:rPr>
          <w:rFonts w:hint="eastAsia"/>
        </w:rPr>
      </w:pPr>
      <w:r w:rsidRPr="5F6C245C">
        <w:rPr>
          <w:b/>
          <w:bCs/>
          <w:i/>
          <w:iCs/>
          <w:color w:val="000000" w:themeColor="text1"/>
        </w:rPr>
        <w:t xml:space="preserve">6) </w:t>
      </w:r>
      <w:r w:rsidRPr="5F6C245C">
        <w:rPr>
          <w:i/>
          <w:iCs/>
          <w:color w:val="000000" w:themeColor="text1"/>
        </w:rPr>
        <w:t xml:space="preserve">O Termo de Referência deve ser elaborado também no Sistema TR Digital ou em ferramenta informatizada própria (art. 4º da </w:t>
      </w:r>
      <w:r w:rsidRPr="5F6C245C">
        <w:rPr>
          <w:i/>
          <w:iCs/>
        </w:rPr>
        <w:t>IN Seges/ME nº 81, de 25 de novembro de 2022).</w:t>
      </w:r>
    </w:p>
    <w:p w14:paraId="3AFFBC72" w14:textId="5F8E03D5" w:rsidR="00112FEA" w:rsidRDefault="5F6C245C" w:rsidP="5F6C245C">
      <w:pPr>
        <w:pStyle w:val="Textodecomentrio"/>
        <w:rPr>
          <w:rFonts w:hint="eastAsia"/>
        </w:rPr>
      </w:pPr>
      <w:r w:rsidRPr="5F6C245C">
        <w:rPr>
          <w:b/>
          <w:bCs/>
          <w:i/>
          <w:iCs/>
          <w:color w:val="000000" w:themeColor="text1"/>
        </w:rPr>
        <w:t xml:space="preserve">7) </w:t>
      </w:r>
      <w:r w:rsidRPr="5F6C245C">
        <w:rPr>
          <w:i/>
          <w:iCs/>
          <w:color w:val="000000" w:themeColor="text1"/>
        </w:rPr>
        <w:t>A elaboração do TR deve levar em conta o art. 3º, inciso I, da</w:t>
      </w:r>
      <w:r w:rsidRPr="5F6C245C">
        <w:rPr>
          <w:i/>
          <w:iCs/>
        </w:rPr>
        <w:t xml:space="preserve"> IN Seges/ME nº 81, de 2022, </w:t>
      </w:r>
      <w:r w:rsidRPr="5F6C245C">
        <w:rPr>
          <w:i/>
          <w:iCs/>
          <w:color w:val="000000" w:themeColor="text1"/>
        </w:rPr>
        <w:t>que traz a seguinte definição de TR: “documento necessário para a contratação de bens e serviços, que deve conter os parâmetros e elementos descritivos estabelecidos no art. 9º, sendo documento constitutivo da fase preparatória da instrução do processo de licitação”.</w:t>
      </w:r>
    </w:p>
    <w:p w14:paraId="539AC7C9" w14:textId="25DD294A" w:rsidR="00112FEA" w:rsidRDefault="5F6C245C" w:rsidP="5F6C245C">
      <w:pPr>
        <w:pStyle w:val="Textodecomentrio"/>
        <w:rPr>
          <w:rFonts w:hint="eastAsia"/>
        </w:rPr>
      </w:pPr>
      <w:r w:rsidRPr="5F6C245C">
        <w:rPr>
          <w:b/>
          <w:bCs/>
          <w:i/>
          <w:iCs/>
          <w:color w:val="000000" w:themeColor="text1"/>
        </w:rPr>
        <w:t xml:space="preserve">8) </w:t>
      </w:r>
      <w:r w:rsidRPr="5F6C245C">
        <w:rPr>
          <w:i/>
          <w:iCs/>
          <w:color w:val="000000" w:themeColor="text1"/>
        </w:rPr>
        <w:t>A não utilização dos m</w:t>
      </w:r>
      <w:r w:rsidRPr="5F6C245C">
        <w:rPr>
          <w:i/>
          <w:iCs/>
        </w:rPr>
        <w:t>odelos de TR instituídos pela Secretaria de Gestão e Inovação, do Ministério da Gestão e da Inovação em Serviços Públicos de</w:t>
      </w:r>
      <w:r w:rsidRPr="5F6C245C">
        <w:rPr>
          <w:i/>
          <w:iCs/>
          <w:color w:val="000000" w:themeColor="text1"/>
        </w:rPr>
        <w:t xml:space="preserve">ve ser justificada por escrito, com anexação ao respectivo processo de contratação, conforme art. 19, §2º, da Lei nº 14.133, de 2021 e art. 9º, §3º da </w:t>
      </w:r>
      <w:r w:rsidRPr="5F6C245C">
        <w:rPr>
          <w:i/>
          <w:iCs/>
        </w:rPr>
        <w:t xml:space="preserve">IN </w:t>
      </w:r>
      <w:r w:rsidRPr="5F6C245C">
        <w:rPr>
          <w:i/>
          <w:iCs/>
          <w:color w:val="000000" w:themeColor="text1"/>
        </w:rPr>
        <w:t>Seges/ME nº 81, de 2022.</w:t>
      </w:r>
    </w:p>
    <w:p w14:paraId="07DFD1DE" w14:textId="6BBBEC23" w:rsidR="00112FEA" w:rsidRDefault="5F6C245C" w:rsidP="5F6C245C">
      <w:pPr>
        <w:pStyle w:val="Textodecomentrio"/>
        <w:rPr>
          <w:rFonts w:hint="eastAsia"/>
        </w:rPr>
      </w:pPr>
      <w:r w:rsidRPr="5F6C245C">
        <w:rPr>
          <w:b/>
          <w:bCs/>
          <w:i/>
          <w:iCs/>
          <w:color w:val="000000" w:themeColor="text1"/>
        </w:rPr>
        <w:t xml:space="preserve">9) </w:t>
      </w:r>
      <w:r w:rsidRPr="5F6C245C">
        <w:rPr>
          <w:i/>
          <w:iCs/>
          <w:color w:val="000000" w:themeColor="text1"/>
        </w:rPr>
        <w:t>A fim de aprimorar as atividades da Administração, a elaboração dos estudos preliminares e do TR deve levar em conta o relatório final com informações de contratação anterior, nos termos da alínea “d” do inciso VI do § 3º do art. 174 da Lei nº 14.133, de 20</w:t>
      </w:r>
      <w:r w:rsidRPr="5F6C245C">
        <w:rPr>
          <w:i/>
          <w:iCs/>
        </w:rPr>
        <w:t>21 e inciso VI do art. 21 do Decreto nº 11.246, de 27 de outubro de 2022. Caso referido rel</w:t>
      </w:r>
      <w:r w:rsidRPr="5F6C245C">
        <w:rPr>
          <w:i/>
          <w:iCs/>
          <w:color w:val="000000" w:themeColor="text1"/>
        </w:rPr>
        <w:t>atório não tenha sido elaborado, o processo deve ser enriquecido com essa informação, devendo o gestor do contrato cuidar de elaborá-lo ao fim da contratação que será efetivada.</w:t>
      </w:r>
    </w:p>
    <w:p w14:paraId="72D3974D" w14:textId="0356DF9B" w:rsidR="00112FEA" w:rsidRDefault="5F6C245C" w:rsidP="5F6C245C">
      <w:pPr>
        <w:pStyle w:val="Textodecomentrio"/>
        <w:rPr>
          <w:rFonts w:hint="eastAsia"/>
        </w:rPr>
      </w:pPr>
      <w:r w:rsidRPr="5F6C245C">
        <w:rPr>
          <w:b/>
          <w:bCs/>
          <w:i/>
          <w:iCs/>
          <w:color w:val="000000" w:themeColor="text1"/>
        </w:rPr>
        <w:t>10)</w:t>
      </w:r>
      <w:r w:rsidRPr="5F6C245C">
        <w:rPr>
          <w:i/>
          <w:iCs/>
          <w:color w:val="000000" w:themeColor="text1"/>
        </w:rPr>
        <w:t>.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p w14:paraId="738EFB4F" w14:textId="291D8984" w:rsidR="00112FEA" w:rsidRDefault="5F6C245C" w:rsidP="5F6C245C">
      <w:pPr>
        <w:pStyle w:val="Textodecomentrio"/>
        <w:rPr>
          <w:rFonts w:hint="eastAsia"/>
        </w:rPr>
      </w:pPr>
      <w:r w:rsidRPr="5F6C245C">
        <w:rPr>
          <w:b/>
          <w:bCs/>
          <w:i/>
          <w:iCs/>
          <w:color w:val="000000" w:themeColor="text1"/>
        </w:rPr>
        <w:t xml:space="preserve">11) </w:t>
      </w:r>
      <w:r w:rsidRPr="5F6C245C">
        <w:rPr>
          <w:i/>
          <w:iCs/>
          <w:color w:val="000000" w:themeColor="text1"/>
        </w:rPr>
        <w:t xml:space="preserve">Quaisquer sugestões de alteração poderão ser encaminhadas ao e-mail: </w:t>
      </w:r>
      <w:hyperlink r:id="rId1">
        <w:r w:rsidRPr="5F6C245C">
          <w:rPr>
            <w:rStyle w:val="Hyperlink"/>
            <w:i/>
            <w:iCs/>
          </w:rPr>
          <w:t>cgu.modeloscontratacao@agu.gov.br</w:t>
        </w:r>
      </w:hyperlink>
      <w:r w:rsidRPr="5F6C245C">
        <w:rPr>
          <w:i/>
          <w:iCs/>
          <w:color w:val="000000" w:themeColor="text1"/>
        </w:rPr>
        <w:t>.</w:t>
      </w:r>
    </w:p>
  </w:comment>
  <w:comment w:id="2" w:author="Autor" w:initials="A">
    <w:p w14:paraId="7881C1C9" w14:textId="5337FCE2" w:rsidR="00112FEA" w:rsidRDefault="00112FEA">
      <w:pPr>
        <w:pStyle w:val="Textodecomentrio"/>
        <w:rPr>
          <w:rFonts w:hint="eastAsia"/>
        </w:rPr>
      </w:pPr>
      <w:r>
        <w:rPr>
          <w:rStyle w:val="Refdecomentrio"/>
        </w:rPr>
        <w:annotationRef/>
      </w:r>
      <w:r>
        <w:rPr>
          <w:b/>
          <w:bCs/>
          <w:i/>
          <w:iCs/>
          <w:color w:val="000000"/>
        </w:rPr>
        <w:t xml:space="preserve">Nota Explicativa 1: </w:t>
      </w:r>
      <w:r>
        <w:rPr>
          <w:i/>
          <w:iCs/>
          <w:color w:val="000000"/>
        </w:rPr>
        <w:t>A tabela é meramente ilustrativa, podendo ser livremente alterada conforme o caso concreto.</w:t>
      </w:r>
    </w:p>
    <w:p w14:paraId="24F43628" w14:textId="77777777" w:rsidR="00112FEA" w:rsidRDefault="00112FEA">
      <w:pPr>
        <w:pStyle w:val="Textodecomentrio"/>
        <w:rPr>
          <w:rFonts w:hint="eastAsia"/>
        </w:rPr>
      </w:pPr>
      <w:r>
        <w:rPr>
          <w:b/>
          <w:bCs/>
          <w:i/>
          <w:iCs/>
          <w:color w:val="000000"/>
        </w:rPr>
        <w:t xml:space="preserve">Nota Explicativa 2: </w:t>
      </w:r>
      <w:r>
        <w:rPr>
          <w:i/>
          <w:iCs/>
          <w:color w:val="000000"/>
        </w:rPr>
        <w:t>A justificativa para o parcelamento ou não do objeto deve constar do Estudo Técnico Preliminar (art. 18, §1º, inciso VIII, da Lei nº 14.133, de 2021, e art. 9º, inciso VII, da Instrução Normativa SEGES nº 58, de 8 de agosto de 2022). As compras, como regra, devem atender ao parcelamento quando for tecnicamente viável e economicamente vantajoso (art. 40, inciso V, alínea b, da Lei nº 14.133, de 2021). Devem também ser observadas as regras do artigo 40, §§ 2º e 3º, da Lei nº 14.133, de 2021, que trata de aspectos a serem considerados na aplicação do princípio do parcelamento.</w:t>
      </w:r>
    </w:p>
    <w:p w14:paraId="6F518A73" w14:textId="77777777" w:rsidR="00112FEA" w:rsidRDefault="00112FEA" w:rsidP="004D7440">
      <w:pPr>
        <w:pStyle w:val="Textodecomentrio"/>
        <w:rPr>
          <w:rFonts w:hint="eastAsia"/>
        </w:rPr>
      </w:pPr>
      <w:r>
        <w:rPr>
          <w:b/>
          <w:bCs/>
        </w:rPr>
        <w:t xml:space="preserve">Nota Explicativa 3: </w:t>
      </w:r>
      <w:r>
        <w:t>Em licitação ou itens de valor correspondente a até R$ 80.000,00 deve ser garantida a participação exclusiva de Microempresa e Empresa de Pequeno Porte (ME e EPP), conforme artigo 48, inciso I, da Lei Complementar nº 123, de 14 de dezembro de 2006, e artigo 6º do Decreto nº 8.538, de 06 de outubro de 2015).</w:t>
      </w:r>
    </w:p>
  </w:comment>
  <w:comment w:id="3" w:author="Autor" w:initials="A">
    <w:p w14:paraId="043DF909" w14:textId="77777777" w:rsidR="00112FEA" w:rsidRDefault="00112FEA" w:rsidP="00020B6C">
      <w:pPr>
        <w:pStyle w:val="Textodecomentrio"/>
        <w:rPr>
          <w:rFonts w:hint="eastAsia"/>
        </w:rPr>
      </w:pPr>
      <w:r>
        <w:rPr>
          <w:rStyle w:val="Refdecomentrio"/>
        </w:rPr>
        <w:annotationRef/>
      </w:r>
      <w:r>
        <w:rPr>
          <w:b/>
          <w:bCs/>
          <w:i/>
          <w:iCs/>
          <w:color w:val="000000"/>
        </w:rPr>
        <w:t>Nota Explicativa:</w:t>
      </w:r>
      <w:r>
        <w:rPr>
          <w:i/>
          <w:iCs/>
          <w:color w:val="000000"/>
        </w:rPr>
        <w:t xml:space="preserve"> Orientação Normativa AGU nº 54/2014: Compete ao agente ou setor técnico da administração declarar que o objeto licitatório é de natureza comum para efeito de utilização da modalidade pregão e definir se o objeto corresponde a obra ou serviço de engenharia, sendo atribuição do órgão jurídico analisar o devido enquadramento da modalidade licitatória aplicável</w:t>
      </w:r>
    </w:p>
  </w:comment>
  <w:comment w:id="4" w:author="Autor" w:initials="A">
    <w:p w14:paraId="47CAB683" w14:textId="5153293A" w:rsidR="00112FEA" w:rsidRDefault="00112FEA" w:rsidP="00AB6588">
      <w:pPr>
        <w:pStyle w:val="Textodecomentrio"/>
        <w:rPr>
          <w:rFonts w:hint="eastAsia"/>
        </w:rPr>
      </w:pPr>
      <w:r>
        <w:rPr>
          <w:rStyle w:val="Refdecomentrio"/>
        </w:rPr>
        <w:annotationRef/>
      </w:r>
      <w:r>
        <w:rPr>
          <w:b/>
          <w:bCs/>
          <w:i/>
          <w:iCs/>
          <w:color w:val="000000"/>
        </w:rPr>
        <w:t xml:space="preserve">Nota Explicativa: Vedação quanto à aquisição de itens de luxo - </w:t>
      </w:r>
      <w:r>
        <w:rPr>
          <w:i/>
          <w:iCs/>
          <w:color w:val="000000"/>
        </w:rPr>
        <w:t xml:space="preserve">O artigo 20 da Lei nº 14.133, de 2021, estabelece que os itens de consumo deverão ser de qualidade comum, não superior à necessária para cumprir as finalidades às quais se destinam, vedada a aquisição de artigos de luxo. O Decreto nº 10.818, de 2021 regulamentou o tema, devendo as vedações nele estabelecidas serem respeitadas pelo administrador público. </w:t>
      </w:r>
    </w:p>
  </w:comment>
  <w:comment w:id="5" w:author="Autor" w:initials="A">
    <w:p w14:paraId="127A4C39" w14:textId="77777777" w:rsidR="00112FEA" w:rsidRDefault="00112FEA" w:rsidP="00AB6588">
      <w:pPr>
        <w:pStyle w:val="Textodecomentrio"/>
        <w:rPr>
          <w:rFonts w:hint="eastAsia"/>
        </w:rPr>
      </w:pPr>
      <w:r>
        <w:rPr>
          <w:rStyle w:val="Refdecomentrio"/>
        </w:rPr>
        <w:annotationRef/>
      </w:r>
      <w:r>
        <w:rPr>
          <w:b/>
          <w:bCs/>
          <w:i/>
          <w:iCs/>
          <w:color w:val="000000"/>
        </w:rPr>
        <w:t>Nota Explicativa:</w:t>
      </w:r>
      <w:r>
        <w:rPr>
          <w:i/>
          <w:iCs/>
          <w:color w:val="000000"/>
        </w:rPr>
        <w:t xml:space="preserve"> De acordo com o artigo 6º, inciso XXIII, alínea ‘c’, da Lei nº 14.133, de 2021, a fundamentação da contratação é realizada mediante “referência aos estudos técnicos preliminares (ETP) correspondentes ou, quando não for possível divulgar esses estudos, no extrato das partes que não contiverem informações sigilosas”. A Instrução Normativa SEGES/ME nº 58, de 8 de agosto de 2022, dispõe sobre a “elaboração do ETP, para a aquisição de bens e a contratação de serviços e obras no âmbito da administração pública federal direta, autárquica e fundacional, e sobre o Sistema ETP digital”. No mesmo sentido é a previsão do art. 9º, inciso II, da Instrução Normativa Seges/ME nº 81, de 2022.</w:t>
      </w:r>
    </w:p>
  </w:comment>
  <w:comment w:id="6" w:author="Autor" w:initials="A">
    <w:p w14:paraId="0ECAAFE9" w14:textId="77777777" w:rsidR="00112FEA" w:rsidRDefault="00112FEA">
      <w:pPr>
        <w:pStyle w:val="Textodecomentrio"/>
        <w:rPr>
          <w:rFonts w:hint="eastAsia"/>
        </w:rPr>
      </w:pPr>
      <w:r>
        <w:rPr>
          <w:rStyle w:val="Refdecomentrio"/>
        </w:rPr>
        <w:annotationRef/>
      </w:r>
      <w:r>
        <w:rPr>
          <w:b/>
          <w:bCs/>
          <w:i/>
          <w:iCs/>
          <w:color w:val="000000"/>
        </w:rPr>
        <w:t>Nota Explicativa 1:</w:t>
      </w:r>
      <w:r>
        <w:rPr>
          <w:i/>
          <w:iCs/>
          <w:color w:val="000000"/>
        </w:rPr>
        <w:t xml:space="preserve"> Artigo 18, §1º, da Lei nº 14.133, de 2021, contém a seguinte redação: </w:t>
      </w:r>
    </w:p>
    <w:p w14:paraId="10CB2E93" w14:textId="77777777" w:rsidR="00112FEA" w:rsidRDefault="00112FEA">
      <w:pPr>
        <w:pStyle w:val="Textodecomentrio"/>
        <w:rPr>
          <w:rFonts w:hint="eastAsia"/>
        </w:rPr>
      </w:pPr>
      <w:r>
        <w:rPr>
          <w:i/>
          <w:iCs/>
          <w:color w:val="000000"/>
        </w:rPr>
        <w:t>§ 1º O estudo técnico preliminar a que se refere o inciso I do caput deste artigo deverá evidenciar o problema a ser resolvido e a sua melhor solução, de modo a permitir a avaliação da viabilidade técnica e econômica da contratação, e conterá os seguintes elementos: (...)VII - descrição da solução como um todo, inclusive das exigências relacionadas à manutenção e à assistência técnica, quando for o caso.</w:t>
      </w:r>
    </w:p>
    <w:p w14:paraId="5DC68854" w14:textId="77777777" w:rsidR="00112FEA" w:rsidRDefault="00112FEA">
      <w:pPr>
        <w:pStyle w:val="Textodecomentrio"/>
        <w:rPr>
          <w:rFonts w:hint="eastAsia"/>
        </w:rPr>
      </w:pPr>
      <w:r>
        <w:rPr>
          <w:i/>
          <w:iCs/>
          <w:color w:val="000000"/>
        </w:rPr>
        <w:t>Ver também Instrução Normativa SEGES/ME nº 58, de 08 de agosto de 2022 (ETP), art. 3º, inciso I e art. 6º.</w:t>
      </w:r>
    </w:p>
    <w:p w14:paraId="2468F0EF" w14:textId="77777777" w:rsidR="00112FEA" w:rsidRDefault="00112FEA">
      <w:pPr>
        <w:pStyle w:val="Textodecomentrio"/>
        <w:rPr>
          <w:rFonts w:hint="eastAsia"/>
        </w:rPr>
      </w:pPr>
      <w:r>
        <w:rPr>
          <w:i/>
          <w:iCs/>
          <w:color w:val="000000"/>
        </w:rPr>
        <w:t>Caso haja a necessidade de modificação da descrição em relação à originalmente feita nos estudos técnicos preliminares, recomenda-se o dispositivo 3.1, para que passe a contemplar essa alteração.</w:t>
      </w:r>
    </w:p>
    <w:p w14:paraId="68EFC24F" w14:textId="77777777" w:rsidR="00112FEA" w:rsidRDefault="00112FEA">
      <w:pPr>
        <w:pStyle w:val="Textodecomentrio"/>
        <w:rPr>
          <w:rFonts w:hint="eastAsia"/>
        </w:rPr>
      </w:pPr>
      <w:r>
        <w:rPr>
          <w:i/>
          <w:iCs/>
          <w:color w:val="000000"/>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14:paraId="50FE4776" w14:textId="77777777" w:rsidR="00112FEA" w:rsidRDefault="00112FEA">
      <w:pPr>
        <w:pStyle w:val="Textodecomentrio"/>
        <w:rPr>
          <w:rFonts w:hint="eastAsia"/>
        </w:rPr>
      </w:pPr>
    </w:p>
    <w:p w14:paraId="46084FE3" w14:textId="77777777" w:rsidR="00112FEA" w:rsidRDefault="00112FEA">
      <w:pPr>
        <w:pStyle w:val="Textodecomentrio"/>
        <w:rPr>
          <w:rFonts w:hint="eastAsia"/>
        </w:rPr>
      </w:pPr>
      <w:r>
        <w:rPr>
          <w:b/>
          <w:bCs/>
          <w:i/>
          <w:iCs/>
          <w:color w:val="000000"/>
        </w:rPr>
        <w:t>Nota Explicativa 2:</w:t>
      </w:r>
      <w:r>
        <w:rPr>
          <w:i/>
          <w:iCs/>
          <w:color w:val="000000"/>
        </w:rPr>
        <w:t xml:space="preserve"> A Instrução Normativa SEGES/ME nº 73, de 30 de setembro de 2022, em seu art. 9º, §1º, estabelece que os custos indiretos, relacionados às despesas de manutenção, utilização, reposição, 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14:paraId="47ED7F05" w14:textId="77777777" w:rsidR="00112FEA" w:rsidRDefault="00112FEA">
      <w:pPr>
        <w:pStyle w:val="Textodecomentrio"/>
        <w:rPr>
          <w:rFonts w:hint="eastAsia"/>
        </w:rPr>
      </w:pPr>
    </w:p>
    <w:p w14:paraId="7D2ECE8F" w14:textId="77777777" w:rsidR="00112FEA" w:rsidRDefault="00112FEA">
      <w:pPr>
        <w:pStyle w:val="Textodecomentrio"/>
        <w:rPr>
          <w:rFonts w:hint="eastAsia"/>
        </w:rPr>
      </w:pPr>
      <w:r>
        <w:rPr>
          <w:b/>
          <w:bCs/>
          <w:i/>
          <w:iCs/>
          <w:color w:val="000000"/>
        </w:rPr>
        <w:t xml:space="preserve">Nota Explicativa 3: </w:t>
      </w:r>
      <w:r>
        <w:rPr>
          <w:i/>
          <w:iCs/>
          <w:color w:val="000000"/>
        </w:rPr>
        <w:t>O objeto deve ser descrito de forma detalhada, com todas as especificações necessárias e suficientes para garantir a qualidade da contração,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14:paraId="07B74BCC" w14:textId="77777777" w:rsidR="00112FEA" w:rsidRDefault="00112FEA">
      <w:pPr>
        <w:pStyle w:val="Textodecomentrio"/>
        <w:rPr>
          <w:rFonts w:hint="eastAsia"/>
        </w:rPr>
      </w:pPr>
    </w:p>
    <w:p w14:paraId="1DE390BA" w14:textId="77777777" w:rsidR="00112FEA" w:rsidRDefault="00112FEA">
      <w:pPr>
        <w:pStyle w:val="Textodecomentrio"/>
        <w:rPr>
          <w:rFonts w:hint="eastAsia"/>
        </w:rPr>
      </w:pPr>
      <w:r>
        <w:rPr>
          <w:b/>
          <w:bCs/>
          <w:i/>
          <w:iCs/>
          <w:color w:val="000000"/>
        </w:rPr>
        <w:t xml:space="preserve">Nota Explicativa 4: </w:t>
      </w:r>
      <w:r>
        <w:rPr>
          <w:i/>
          <w:iCs/>
          <w:color w:val="000000"/>
        </w:rPr>
        <w:t xml:space="preserve">O art. 6º, XXIII, “c”, da Lei nº 14.133, de 2021, e o art. 9º, IIII, da Instrução Normativa Seges/ME nº 81, de 2022, dispõem que a descrição da solução como um todo deve considerar todo o ciclo de vida do objeto. “Ciclo de Vida” é definido no art. 3º da Lei nº 12.305, de 02 de agosto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w:t>
      </w:r>
      <w:r>
        <w:rPr>
          <w:b/>
          <w:bCs/>
          <w:i/>
          <w:iCs/>
          <w:color w:val="000000"/>
        </w:rPr>
        <w:t>Reitere-se: se a descrição contida no ETP não contiver esse ponto, deve ser complementada neste TR</w:t>
      </w:r>
      <w:r>
        <w:rPr>
          <w:i/>
          <w:iCs/>
          <w:color w:val="000000"/>
        </w:rPr>
        <w:t>.</w:t>
      </w:r>
    </w:p>
    <w:p w14:paraId="3E33EB37" w14:textId="77777777" w:rsidR="00112FEA" w:rsidRDefault="00112FEA">
      <w:pPr>
        <w:pStyle w:val="Textodecomentrio"/>
        <w:rPr>
          <w:rFonts w:hint="eastAsia"/>
        </w:rPr>
      </w:pPr>
    </w:p>
    <w:p w14:paraId="68D366EF" w14:textId="77777777" w:rsidR="00112FEA" w:rsidRDefault="00112FEA">
      <w:pPr>
        <w:pStyle w:val="Textodecomentrio"/>
        <w:rPr>
          <w:rFonts w:hint="eastAsia"/>
        </w:rPr>
      </w:pPr>
      <w:r>
        <w:rPr>
          <w:b/>
          <w:bCs/>
          <w:i/>
          <w:iCs/>
          <w:color w:val="000000"/>
        </w:rPr>
        <w:t>Nota Explicativa 5:</w:t>
      </w:r>
      <w:r>
        <w:rPr>
          <w:i/>
          <w:iCs/>
          <w:color w:val="000000"/>
        </w:rPr>
        <w:t xml:space="preserve"> O art. 40, §1º, inciso I, da Lei nº 14.133, de 2021, e o 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 SEGES/ME nº 938, de 02 de fevereiro de 2022, instituiu o </w:t>
      </w:r>
      <w:hyperlink r:id="rId2" w:history="1">
        <w:r w:rsidRPr="006165D5">
          <w:rPr>
            <w:rStyle w:val="Hyperlink"/>
            <w:i/>
            <w:iCs/>
          </w:rPr>
          <w:t>catálogo eletrônico de padronização</w:t>
        </w:r>
      </w:hyperlink>
      <w:r>
        <w:rPr>
          <w:i/>
          <w:iCs/>
          <w:color w:val="000000"/>
        </w:rPr>
        <w:t>, o qual deverá ser consultado para verificar se a contratação almejada está contemplada em seus termos. Em existindo padronização aprovada, ela deve ser considerada e eventual não-uso justificado nos autos.</w:t>
      </w:r>
    </w:p>
    <w:p w14:paraId="1120C362" w14:textId="77777777" w:rsidR="00112FEA" w:rsidRDefault="00112FEA">
      <w:pPr>
        <w:pStyle w:val="Textodecomentrio"/>
        <w:rPr>
          <w:rFonts w:hint="eastAsia"/>
        </w:rPr>
      </w:pPr>
    </w:p>
    <w:p w14:paraId="30F430F0" w14:textId="77777777" w:rsidR="00112FEA" w:rsidRDefault="00112FEA">
      <w:pPr>
        <w:pStyle w:val="Textodecomentrio"/>
        <w:rPr>
          <w:rFonts w:hint="eastAsia"/>
        </w:rPr>
      </w:pPr>
      <w:r>
        <w:rPr>
          <w:b/>
          <w:bCs/>
          <w:i/>
          <w:iCs/>
          <w:color w:val="000000"/>
        </w:rPr>
        <w:t xml:space="preserve">Nota Explicativa 6: </w:t>
      </w:r>
      <w:r>
        <w:rPr>
          <w:i/>
          <w:iCs/>
          <w:color w:val="000000"/>
        </w:rPr>
        <w:t xml:space="preserve">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w:t>
      </w:r>
      <w:hyperlink r:id="rId3" w:history="1">
        <w:r w:rsidRPr="006165D5">
          <w:rPr>
            <w:rStyle w:val="Hyperlink"/>
            <w:i/>
            <w:iCs/>
          </w:rPr>
          <w:t>Guia Nacional de Contratações Sustentáveis da AGU</w:t>
        </w:r>
      </w:hyperlink>
      <w:r>
        <w:rPr>
          <w:i/>
          <w:iCs/>
          <w:color w:val="000000"/>
        </w:rPr>
        <w:t xml:space="preserve"> para tal fim. Caso o Estudo Técnico Preliminar seja silente ou insuficiente a esse respeito, recomenda-se abrir tópico específico nesta seção sobre a matéria.</w:t>
      </w:r>
    </w:p>
    <w:p w14:paraId="760F5483" w14:textId="77777777" w:rsidR="00112FEA" w:rsidRDefault="00112FEA" w:rsidP="00AB6588">
      <w:pPr>
        <w:pStyle w:val="Textodecomentrio"/>
        <w:rPr>
          <w:rFonts w:hint="eastAsia"/>
        </w:rPr>
      </w:pPr>
      <w:r>
        <w:rPr>
          <w:i/>
          <w:iCs/>
          <w:color w:val="000000"/>
        </w:rPr>
        <w:t>Vale registrar que a sustentabilidade pode incidir a partir de características do próprio objeto a ser contratado como também de outros modos, compilados no tópico “requisitos da contratação”, abaixo.</w:t>
      </w:r>
    </w:p>
  </w:comment>
  <w:comment w:id="7" w:author="Autor" w:initials="A">
    <w:p w14:paraId="44958875" w14:textId="77777777" w:rsidR="00112FEA" w:rsidRDefault="00112FEA">
      <w:pPr>
        <w:pStyle w:val="Textodecomentrio"/>
        <w:rPr>
          <w:rFonts w:hint="eastAsia"/>
        </w:rPr>
      </w:pPr>
      <w:r>
        <w:rPr>
          <w:rStyle w:val="Refdecomentrio"/>
        </w:rPr>
        <w:annotationRef/>
      </w:r>
      <w:r>
        <w:rPr>
          <w:b/>
          <w:bCs/>
          <w:i/>
          <w:iCs/>
          <w:color w:val="000000"/>
        </w:rPr>
        <w:t xml:space="preserve">Nota Explicativa 1: </w:t>
      </w:r>
      <w:r>
        <w:rPr>
          <w:i/>
          <w:iCs/>
          <w:color w:val="000000"/>
        </w:rPr>
        <w:t>Os requisitos da contratação deverão ser registrados nos Sistemas TR DIGITAL E ETP DIGITAL, nos term</w:t>
      </w:r>
      <w:r>
        <w:rPr>
          <w:i/>
          <w:iCs/>
        </w:rPr>
        <w:t xml:space="preserve">os do </w:t>
      </w:r>
      <w:hyperlink r:id="rId4" w:anchor="art9" w:history="1">
        <w:r w:rsidRPr="002D16CD">
          <w:rPr>
            <w:rStyle w:val="Hyperlink"/>
            <w:i/>
            <w:iCs/>
          </w:rPr>
          <w:t>art. 9º, inciso IV da IN Seges/ME nº 81, de 2022</w:t>
        </w:r>
      </w:hyperlink>
      <w:r>
        <w:rPr>
          <w:i/>
          <w:iCs/>
        </w:rPr>
        <w:t xml:space="preserve"> e </w:t>
      </w:r>
      <w:hyperlink r:id="rId5" w:anchor="art9" w:history="1">
        <w:r w:rsidRPr="002D16CD">
          <w:rPr>
            <w:rStyle w:val="Hyperlink"/>
            <w:i/>
            <w:iCs/>
          </w:rPr>
          <w:t>art. 9º, inciso II, da Instrução Normativa Seges/ME nº 58, de 2022.</w:t>
        </w:r>
      </w:hyperlink>
    </w:p>
    <w:p w14:paraId="54330E4C" w14:textId="77777777" w:rsidR="00112FEA" w:rsidRDefault="00112FEA" w:rsidP="00AB6588">
      <w:pPr>
        <w:pStyle w:val="Textodecomentrio"/>
        <w:rPr>
          <w:rFonts w:hint="eastAsia"/>
        </w:rPr>
      </w:pPr>
      <w:r>
        <w:rPr>
          <w:b/>
          <w:bCs/>
          <w:i/>
          <w:iCs/>
          <w:color w:val="000000"/>
        </w:rPr>
        <w:t xml:space="preserve">Nota Explicativa 2: </w:t>
      </w:r>
      <w:r>
        <w:rPr>
          <w:i/>
          <w:iCs/>
          <w:color w:val="000000"/>
        </w:rPr>
        <w:t xml:space="preserve">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w:t>
      </w:r>
      <w:r>
        <w:rPr>
          <w:i/>
          <w:iCs/>
        </w:rPr>
        <w:t>de tópico específico neste TR (CRITÉRIOS DE SELEÇÃO DO FORNECEDOR) de modo que sua inclusão aqui seria redundante.</w:t>
      </w:r>
    </w:p>
  </w:comment>
  <w:comment w:id="8" w:author="Autor" w:initials="A">
    <w:p w14:paraId="4A98D4E3" w14:textId="77777777" w:rsidR="00112FEA" w:rsidRDefault="00112FEA">
      <w:pPr>
        <w:pStyle w:val="Textodecomentrio"/>
        <w:rPr>
          <w:rFonts w:hint="eastAsia"/>
        </w:rPr>
      </w:pPr>
      <w:r>
        <w:rPr>
          <w:rStyle w:val="Refdecomentrio"/>
        </w:rPr>
        <w:annotationRef/>
      </w:r>
      <w:r>
        <w:rPr>
          <w:b/>
          <w:bCs/>
          <w:i/>
          <w:iCs/>
          <w:color w:val="000000"/>
        </w:rPr>
        <w:t xml:space="preserve">Nota Explicativa 1: </w:t>
      </w:r>
      <w:r>
        <w:rPr>
          <w:i/>
          <w:iCs/>
          <w:color w:val="000000"/>
        </w:rPr>
        <w:t>O Termo de Referência e os Estudos Técnicos Preliminares deverão estar alinhados com o Plano Diretor de Logística Sustentável, Plano de Contratações Anual além de outros instrumentos de planejamento da Administração,</w:t>
      </w:r>
      <w:r>
        <w:rPr>
          <w:b/>
          <w:bCs/>
          <w:i/>
          <w:iCs/>
          <w:color w:val="000000"/>
        </w:rPr>
        <w:t xml:space="preserve"> </w:t>
      </w:r>
      <w:r>
        <w:rPr>
          <w:i/>
          <w:iCs/>
          <w:color w:val="000000"/>
        </w:rPr>
        <w:t>de acord</w:t>
      </w:r>
      <w:r>
        <w:rPr>
          <w:i/>
          <w:iCs/>
        </w:rPr>
        <w:t>o com o art. 7º da IN Seges/ME nº 81, de 2022, e art. 7º, da Instrução Normativa SegesME nº 58, de 2022.</w:t>
      </w:r>
    </w:p>
    <w:p w14:paraId="642BF243" w14:textId="77777777" w:rsidR="00112FEA" w:rsidRDefault="00112FEA">
      <w:pPr>
        <w:pStyle w:val="Textodecomentrio"/>
        <w:rPr>
          <w:rFonts w:hint="eastAsia"/>
        </w:rPr>
      </w:pPr>
    </w:p>
    <w:p w14:paraId="04F9E077" w14:textId="77777777" w:rsidR="00112FEA" w:rsidRDefault="00112FEA">
      <w:pPr>
        <w:pStyle w:val="Textodecomentrio"/>
        <w:rPr>
          <w:rFonts w:hint="eastAsia"/>
        </w:rPr>
      </w:pPr>
      <w:r>
        <w:rPr>
          <w:b/>
          <w:bCs/>
          <w:i/>
          <w:iCs/>
          <w:color w:val="000000"/>
        </w:rPr>
        <w:t>Nota Explicativa 2:</w:t>
      </w:r>
      <w:r>
        <w:rPr>
          <w:i/>
          <w:iCs/>
          <w:color w:val="000000"/>
        </w:rPr>
        <w:t xml:space="preserve"> Nos termos da </w:t>
      </w:r>
      <w:hyperlink r:id="rId6" w:history="1">
        <w:r w:rsidRPr="0006663D">
          <w:rPr>
            <w:rStyle w:val="Hyperlink"/>
            <w:i/>
            <w:iCs/>
          </w:rPr>
          <w:t>Portaria SEGES/ME nº 8.678, de 19 de julho de 2021</w:t>
        </w:r>
      </w:hyperlink>
      <w:r>
        <w:rPr>
          <w:i/>
          <w:iCs/>
          <w:color w:val="000000"/>
        </w:rPr>
        <w:t xml:space="preserve">, o  Plano Diretor de Logística Sustentável é </w:t>
      </w:r>
      <w:r>
        <w:rPr>
          <w:i/>
          <w:iCs/>
          <w:color w:val="555555"/>
        </w:rPr>
        <w:t> </w:t>
      </w:r>
      <w:r>
        <w:rPr>
          <w:i/>
          <w:iCs/>
        </w:rPr>
        <w:t>instrumento de governança, vinculado ao planejamento estratégico do órgão ou entidade, ou instrumento equivalente, e às leis orçamentárias, que estabelece a estratégia das contratações e da logística no âmbito do órgão ou entidade, considerando objetivos e ações referentes a critérios e a práticas de sustentabilidade, nas dimensões econômica, social, ambiental e cultural</w:t>
      </w:r>
      <w:r>
        <w:rPr>
          <w:i/>
          <w:iCs/>
          <w:highlight w:val="white"/>
        </w:rPr>
        <w:t>.</w:t>
      </w:r>
    </w:p>
    <w:p w14:paraId="0124ECD5" w14:textId="77777777" w:rsidR="00112FEA" w:rsidRDefault="00112FEA">
      <w:pPr>
        <w:pStyle w:val="Textodecomentrio"/>
        <w:rPr>
          <w:rFonts w:hint="eastAsia"/>
        </w:rPr>
      </w:pPr>
      <w:r>
        <w:rPr>
          <w:i/>
          <w:iCs/>
          <w:color w:val="000000"/>
        </w:rPr>
        <w:t xml:space="preserve">Destaque-se ainda que de acordo com o artigo 8º, §1º, III, da </w:t>
      </w:r>
      <w:r>
        <w:rPr>
          <w:i/>
          <w:iCs/>
        </w:rPr>
        <w:t>Portaria SEGES/ME nº 8.678, de 2021</w:t>
      </w:r>
      <w:r>
        <w:rPr>
          <w:i/>
          <w:iCs/>
          <w:color w:val="000000"/>
        </w:rPr>
        <w:t xml:space="preserve">, o Plano Diretor de Logística Sustentável deverá nortear a elaboração </w:t>
      </w:r>
      <w:r>
        <w:rPr>
          <w:i/>
          <w:iCs/>
        </w:rPr>
        <w:t>dos anteprojetos, dos projetos básicos ou dos termos de referência de cada contratação.</w:t>
      </w:r>
    </w:p>
    <w:p w14:paraId="009E5251" w14:textId="77777777" w:rsidR="00112FEA" w:rsidRDefault="00112FEA">
      <w:pPr>
        <w:pStyle w:val="Textodecomentrio"/>
        <w:rPr>
          <w:rFonts w:hint="eastAsia"/>
        </w:rPr>
      </w:pPr>
    </w:p>
    <w:p w14:paraId="54C8A3F9" w14:textId="77777777" w:rsidR="00112FEA" w:rsidRDefault="00112FEA">
      <w:pPr>
        <w:pStyle w:val="Textodecomentrio"/>
        <w:rPr>
          <w:rFonts w:hint="eastAsia"/>
        </w:rPr>
      </w:pPr>
      <w:r>
        <w:rPr>
          <w:b/>
          <w:bCs/>
          <w:i/>
          <w:iCs/>
        </w:rPr>
        <w:t>Nota Explicativa 3</w:t>
      </w:r>
      <w:r>
        <w:rPr>
          <w:i/>
          <w:iCs/>
        </w:rPr>
        <w:t>: Os preceitos do desenvolvimento sustentável devem ser observados na fase preparatória da licitação, em suas dimensões econômica, social, ambiental e cultural, no mínimo, com base nos planos de gestão de logística sustentável dos órgãos e das entidades, conforme prevê o parágrafo único do artigo 11 da Instrução Normativa SEGES/ME nº 73, de 2022.</w:t>
      </w:r>
    </w:p>
    <w:p w14:paraId="304775CA" w14:textId="77777777" w:rsidR="00112FEA" w:rsidRDefault="00112FEA">
      <w:pPr>
        <w:pStyle w:val="Textodecomentrio"/>
        <w:rPr>
          <w:rFonts w:hint="eastAsia"/>
        </w:rPr>
      </w:pPr>
    </w:p>
    <w:p w14:paraId="407E87F2" w14:textId="77777777" w:rsidR="00112FEA" w:rsidRDefault="00112FEA">
      <w:pPr>
        <w:pStyle w:val="Textodecomentrio"/>
        <w:rPr>
          <w:rFonts w:hint="eastAsia"/>
        </w:rPr>
      </w:pPr>
      <w:r>
        <w:rPr>
          <w:b/>
          <w:bCs/>
          <w:i/>
          <w:iCs/>
          <w:color w:val="000000"/>
        </w:rPr>
        <w:t>Nota Explicativa 4:</w:t>
      </w:r>
      <w:r>
        <w:rPr>
          <w:i/>
          <w:iCs/>
          <w:color w:val="000000"/>
        </w:rPr>
        <w:t xml:space="preserve"> Os critérios e práticas de sustentabilidade deverão ser registrados no sistema de ETP Digital, conforme previsão do Art. 9º, II, da Instrução Normativa SEGES/ME nº 58, de 2022. </w:t>
      </w:r>
    </w:p>
    <w:p w14:paraId="51322648" w14:textId="77777777" w:rsidR="00112FEA" w:rsidRDefault="00112FEA">
      <w:pPr>
        <w:pStyle w:val="Textodecomentrio"/>
        <w:rPr>
          <w:rFonts w:hint="eastAsia"/>
        </w:rPr>
      </w:pPr>
      <w:r>
        <w:rPr>
          <w:i/>
          <w:iCs/>
          <w:color w:val="000000"/>
        </w:rPr>
        <w:t xml:space="preserve">Soma-se a essa previsão, o </w:t>
      </w:r>
      <w:hyperlink r:id="rId7" w:history="1">
        <w:r w:rsidRPr="0006663D">
          <w:rPr>
            <w:rStyle w:val="Hyperlink"/>
            <w:i/>
            <w:iCs/>
          </w:rPr>
          <w:t>Parecer n. 00001/2021/CNS/CGU/AGU, da Consultoria –Geral da União aprovado nos termos do DESPACHO n. 00525/2021/GAB/CGU/AGU (NUP: 00688.000723/2019-45)</w:t>
        </w:r>
      </w:hyperlink>
      <w:r>
        <w:rPr>
          <w:i/>
          <w:iCs/>
          <w:color w:val="000000"/>
        </w:rPr>
        <w:t xml:space="preserve"> que consolidou o entendimento de que a “administração pública é obrigada a adotar critérios e práticas de sustentabilidade socioambiental e de acessibilidade nas contratações públicas, nas fases de planejamento, seleção de fornecedor, execução contratual, fiscalização e na gestão dos resíduos sólidos.” </w:t>
      </w:r>
    </w:p>
    <w:p w14:paraId="0BF36A0E" w14:textId="77777777" w:rsidR="00112FEA" w:rsidRDefault="00112FEA">
      <w:pPr>
        <w:pStyle w:val="Textodecomentrio"/>
        <w:rPr>
          <w:rFonts w:hint="eastAsia"/>
        </w:rPr>
      </w:pPr>
      <w:r>
        <w:rPr>
          <w:i/>
          <w:iCs/>
          <w:color w:val="000000"/>
        </w:rPr>
        <w:t>Dessa forma, a sustentabilidade deve ser considerada pelo gestor público: a) na fase de planejamento da contratação, b) na elaboração das minutas, com consulta ao Guia, c) na fase de execução contratual e d) na adequada destinação ambiental dos resíduos decorrentes da aquisição. Ainda que não constante do termo de referência, destaque-se que as contratações mediante pregão eletrônico deverão estar alinhadas com o Plano de Gestão e Logística Sustentável do órgão.</w:t>
      </w:r>
    </w:p>
    <w:p w14:paraId="14386305" w14:textId="77777777" w:rsidR="00112FEA" w:rsidRDefault="00112FEA">
      <w:pPr>
        <w:pStyle w:val="Textodecomentrio"/>
        <w:rPr>
          <w:rFonts w:hint="eastAsia"/>
        </w:rPr>
      </w:pPr>
    </w:p>
    <w:p w14:paraId="523B78AD" w14:textId="77777777" w:rsidR="00112FEA" w:rsidRDefault="00112FEA">
      <w:pPr>
        <w:pStyle w:val="Textodecomentrio"/>
        <w:rPr>
          <w:rFonts w:hint="eastAsia"/>
        </w:rPr>
      </w:pPr>
      <w:r>
        <w:rPr>
          <w:b/>
          <w:bCs/>
          <w:i/>
          <w:iCs/>
          <w:color w:val="000000"/>
        </w:rPr>
        <w:t xml:space="preserve">Nota Explicativa 5: </w:t>
      </w:r>
      <w:r>
        <w:rPr>
          <w:i/>
          <w:iCs/>
          <w:color w:val="000000"/>
        </w:rPr>
        <w:t xml:space="preserve">A impossibilidade de adoção de critérios e práticas de sustentabilidade nas contratações públicas deverá ser justificada pelo gestor competente nos Estudos Técnicos Preliminares ou nos autos do processo administrativo, com a indicação das pertinentes razões de fato e/ou direito, conforme o </w:t>
      </w:r>
      <w:hyperlink r:id="rId8" w:history="1">
        <w:r w:rsidRPr="0006663D">
          <w:rPr>
            <w:rStyle w:val="Hyperlink"/>
            <w:i/>
            <w:iCs/>
          </w:rPr>
          <w:t>Parecer n. 00001/2021/CNS/CGU/AGU</w:t>
        </w:r>
      </w:hyperlink>
      <w:r>
        <w:rPr>
          <w:i/>
          <w:iCs/>
          <w:color w:val="000000"/>
        </w:rPr>
        <w:t xml:space="preserve"> e previsão do §1º do art. 9º da Instrução Normativa SEGES/ME nº 58, de 2022, que dispõe sobre a elaboração dos Estudos Técnicos Preliminares - ETP.   </w:t>
      </w:r>
    </w:p>
    <w:p w14:paraId="4E917816" w14:textId="77777777" w:rsidR="00112FEA" w:rsidRDefault="00112FEA">
      <w:pPr>
        <w:pStyle w:val="Textodecomentrio"/>
        <w:rPr>
          <w:rFonts w:hint="eastAsia"/>
        </w:rPr>
      </w:pPr>
      <w:r>
        <w:rPr>
          <w:i/>
          <w:iCs/>
          <w:color w:val="000000"/>
        </w:rPr>
        <w:t>Se houver justificativa nos autos para a não-adoção de critérios de sustentabilidade (e apenas nesse caso), deverá haver a supressão dos dispositivos específicos acima.</w:t>
      </w:r>
    </w:p>
    <w:p w14:paraId="3DB8CBC5" w14:textId="77777777" w:rsidR="00112FEA" w:rsidRDefault="00112FEA">
      <w:pPr>
        <w:pStyle w:val="Textodecomentrio"/>
        <w:rPr>
          <w:rFonts w:hint="eastAsia"/>
        </w:rPr>
      </w:pPr>
    </w:p>
    <w:p w14:paraId="756E0DFE" w14:textId="77777777" w:rsidR="00112FEA" w:rsidRDefault="00112FEA">
      <w:pPr>
        <w:pStyle w:val="Textodecomentrio"/>
        <w:rPr>
          <w:rFonts w:hint="eastAsia"/>
        </w:rPr>
      </w:pPr>
      <w:r>
        <w:rPr>
          <w:b/>
          <w:bCs/>
          <w:i/>
          <w:iCs/>
          <w:color w:val="000000"/>
        </w:rPr>
        <w:t xml:space="preserve">Nota Explicativa 6: </w:t>
      </w:r>
      <w:r>
        <w:rPr>
          <w:i/>
          <w:iCs/>
          <w:color w:val="000000"/>
        </w:rPr>
        <w:t xml:space="preserve">Aos agentes da administração pública federal encarregados de realizar contratações públicas, recomenda-se que, no exercício de suas atribuições funcionais, consultem o </w:t>
      </w:r>
      <w:hyperlink r:id="rId9" w:history="1">
        <w:r w:rsidRPr="0006663D">
          <w:rPr>
            <w:rStyle w:val="Hyperlink"/>
            <w:i/>
            <w:iCs/>
          </w:rPr>
          <w:t>Guia Nacional de Contratações Sustentáveis da Advocacia-Geral da União</w:t>
        </w:r>
      </w:hyperlink>
      <w:r>
        <w:rPr>
          <w:i/>
          <w:iCs/>
          <w:color w:val="000000"/>
        </w:rPr>
        <w:t>, disponibilizado pela Consultoria-Geral da União e no site da AGU.</w:t>
      </w:r>
    </w:p>
    <w:p w14:paraId="1A1BC9C7" w14:textId="77777777" w:rsidR="00112FEA" w:rsidRDefault="00112FEA">
      <w:pPr>
        <w:pStyle w:val="Textodecomentrio"/>
        <w:rPr>
          <w:rFonts w:hint="eastAsia"/>
        </w:rPr>
      </w:pPr>
    </w:p>
    <w:p w14:paraId="37189E8D" w14:textId="77777777" w:rsidR="00112FEA" w:rsidRDefault="00112FEA">
      <w:pPr>
        <w:pStyle w:val="Textodecomentrio"/>
        <w:rPr>
          <w:rFonts w:hint="eastAsia"/>
        </w:rPr>
      </w:pPr>
      <w:r>
        <w:rPr>
          <w:b/>
          <w:bCs/>
          <w:i/>
          <w:iCs/>
          <w:color w:val="000000"/>
        </w:rPr>
        <w:t xml:space="preserve">Nota Explicativa 7: </w:t>
      </w:r>
      <w:r>
        <w:rPr>
          <w:i/>
          <w:iCs/>
          <w:color w:val="000000"/>
        </w:rPr>
        <w:t xml:space="preserve">De acordo com o </w:t>
      </w:r>
      <w:hyperlink r:id="rId10" w:history="1">
        <w:r w:rsidRPr="0006663D">
          <w:rPr>
            <w:rStyle w:val="Hyperlink"/>
            <w:i/>
            <w:iCs/>
          </w:rPr>
          <w:t>Guia Nacional de Contratações Sustentáveis da AGU</w:t>
        </w:r>
      </w:hyperlink>
      <w:r>
        <w:rPr>
          <w:i/>
          <w:iCs/>
          <w:color w:val="000000"/>
        </w:rPr>
        <w:t>, a inclusão de critérios de sustentabilidade deve ser feita de modo claro e objetivo. Deve-se evitar a transcrição literal e automática das previsões legais ou normativas, sem efetuar o exame da incidência real e efetiva delas na contratação em apreço.</w:t>
      </w:r>
    </w:p>
    <w:p w14:paraId="46875719" w14:textId="77777777" w:rsidR="00112FEA" w:rsidRDefault="00112FEA">
      <w:pPr>
        <w:pStyle w:val="Textodecomentrio"/>
        <w:rPr>
          <w:rFonts w:hint="eastAsia"/>
        </w:rPr>
      </w:pPr>
      <w:r>
        <w:rPr>
          <w:i/>
          <w:iCs/>
          <w:color w:val="000000"/>
        </w:rPr>
        <w:t xml:space="preserve">Assim, uma vez exigido qualquer requisito ambiental na especificação do objeto e/ou edital, e/ou contrato, deve ser prevista a forma objetiva de comprovação. É preciso saber quais critérios de sustentabilidade devem ser incluídos nas peças editalícias, como fazer essas exigências e de que forma as pretendidas contratadas devem comprovar o cumprimento desses critérios de sustentabilidade exigidos pela Administração. (artigo 9, inciso XII, da </w:t>
      </w:r>
      <w:hyperlink r:id="rId11" w:history="1">
        <w:r w:rsidRPr="0006663D">
          <w:rPr>
            <w:rStyle w:val="Hyperlink"/>
            <w:i/>
            <w:iCs/>
          </w:rPr>
          <w:t>Instrução Normativa SEGES/ME nº 58, de 2022</w:t>
        </w:r>
      </w:hyperlink>
      <w:r>
        <w:rPr>
          <w:i/>
          <w:iCs/>
          <w:color w:val="000000"/>
        </w:rPr>
        <w:t>, que dispõe sobre a elaboração dos Estudos Técnicos Preliminares - ETP)</w:t>
      </w:r>
    </w:p>
    <w:p w14:paraId="512525AF" w14:textId="77777777" w:rsidR="00112FEA" w:rsidRDefault="00112FEA">
      <w:pPr>
        <w:pStyle w:val="Textodecomentrio"/>
        <w:rPr>
          <w:rFonts w:hint="eastAsia"/>
        </w:rPr>
      </w:pPr>
    </w:p>
    <w:p w14:paraId="19238EFB" w14:textId="77777777" w:rsidR="00112FEA" w:rsidRDefault="00112FEA">
      <w:pPr>
        <w:pStyle w:val="Textodecomentrio"/>
        <w:rPr>
          <w:rFonts w:hint="eastAsia"/>
        </w:rPr>
      </w:pPr>
      <w:r>
        <w:rPr>
          <w:b/>
          <w:bCs/>
          <w:i/>
          <w:iCs/>
          <w:color w:val="000000"/>
        </w:rPr>
        <w:t xml:space="preserve">Nota Explicativa 8: </w:t>
      </w:r>
      <w:r>
        <w:rPr>
          <w:i/>
          <w:iCs/>
          <w:color w:val="000000"/>
        </w:rPr>
        <w:t xml:space="preserve">Nas aquisições e contratações governamentais, deve ser dada prioridade para produtos reciclados e recicláveis e para bens, serviços e obras que considerem critérios compatíveis com padrões de consumo sustentáveis (artigo 7º, inciso XI, da </w:t>
      </w:r>
      <w:hyperlink r:id="rId12" w:history="1">
        <w:r w:rsidRPr="0006663D">
          <w:rPr>
            <w:rStyle w:val="Hyperlink"/>
            <w:i/>
            <w:iCs/>
          </w:rPr>
          <w:t>Lei nº 12.305, de 2010</w:t>
        </w:r>
      </w:hyperlink>
      <w:r>
        <w:rPr>
          <w:i/>
          <w:iCs/>
          <w:color w:val="000000"/>
        </w:rPr>
        <w:t>, – Política Nacional de Resíduos Sólidos). Deve-se observar, também, a regulamentação a ser editada a luz da nova legislação.</w:t>
      </w:r>
    </w:p>
    <w:p w14:paraId="0430F5F3" w14:textId="77777777" w:rsidR="00112FEA" w:rsidRDefault="00112FEA">
      <w:pPr>
        <w:pStyle w:val="Textodecomentrio"/>
        <w:rPr>
          <w:rFonts w:hint="eastAsia"/>
        </w:rPr>
      </w:pPr>
    </w:p>
    <w:p w14:paraId="4C44CEAD" w14:textId="5D18EA76" w:rsidR="00112FEA" w:rsidRDefault="00112FEA" w:rsidP="00AB6588">
      <w:pPr>
        <w:pStyle w:val="Textodecomentrio"/>
        <w:rPr>
          <w:rFonts w:hint="eastAsia"/>
        </w:rPr>
      </w:pPr>
      <w:r>
        <w:rPr>
          <w:b/>
          <w:bCs/>
          <w:i/>
          <w:iCs/>
          <w:color w:val="000000"/>
        </w:rPr>
        <w:t xml:space="preserve">Nota Explicativa 9: </w:t>
      </w:r>
      <w:r>
        <w:rPr>
          <w:i/>
          <w:iCs/>
          <w:color w:val="000000"/>
        </w:rPr>
        <w:t xml:space="preserve">Recomenda-se, igualmente, consulta ao Catálogo de Materiais Sustentáveis (CATMAT Sustentável), bem como consulta prévia ao site governamental </w:t>
      </w:r>
      <w:hyperlink r:id="rId13" w:history="1">
        <w:r w:rsidRPr="0006663D">
          <w:rPr>
            <w:rStyle w:val="Hyperlink"/>
            <w:i/>
            <w:iCs/>
          </w:rPr>
          <w:t>https://doacoes.gov.br</w:t>
        </w:r>
      </w:hyperlink>
      <w:r>
        <w:rPr>
          <w:i/>
          <w:iCs/>
          <w:color w:val="000000"/>
        </w:rPr>
        <w:t xml:space="preserve">/, solução desenvolvida pelo </w:t>
      </w:r>
      <w:r w:rsidR="00312F1A" w:rsidRPr="00312F1A">
        <w:rPr>
          <w:i/>
          <w:iCs/>
          <w:color w:val="000000"/>
        </w:rPr>
        <w:t>Ministério da Gestão e da Inovação em Serviços Públicos</w:t>
      </w:r>
      <w:r>
        <w:rPr>
          <w:i/>
          <w:iCs/>
          <w:color w:val="000000"/>
        </w:rPr>
        <w:t>, que oferta bens móveis e serviços para a administração pública, disponibilizados pelos próprios órgãos de governo ou oferecidos por particulares de forma não onerosa, otimizando a gestão do recurso público com consumo consciente e sustentável.</w:t>
      </w:r>
    </w:p>
  </w:comment>
  <w:comment w:id="9" w:author="Autor" w:initials="A">
    <w:p w14:paraId="2A6B002A" w14:textId="77777777" w:rsidR="00112FEA" w:rsidRDefault="00112FEA">
      <w:pPr>
        <w:pStyle w:val="Textodecomentrio"/>
        <w:rPr>
          <w:rFonts w:hint="eastAsia"/>
        </w:rPr>
      </w:pPr>
      <w:r>
        <w:rPr>
          <w:rStyle w:val="Refdecomentrio"/>
        </w:rPr>
        <w:annotationRef/>
      </w:r>
      <w:r>
        <w:rPr>
          <w:b/>
          <w:bCs/>
          <w:i/>
          <w:iCs/>
          <w:color w:val="000000"/>
        </w:rPr>
        <w:t>Nota Explicativa 1</w:t>
      </w:r>
      <w:r>
        <w:rPr>
          <w:i/>
          <w:iCs/>
          <w:color w:val="000000"/>
        </w:rPr>
        <w:t>: Não se admite a exigência de subcontratação para o fornecimento de bens, exceto quando estiver vinculado à prestação de serviços acessórios. Observe-se, ainda, que é vedada a subcontratação completa ou da parcela principal da obrigação.</w:t>
      </w:r>
    </w:p>
    <w:p w14:paraId="65F219B5" w14:textId="77777777" w:rsidR="00112FEA" w:rsidRDefault="00112FEA">
      <w:pPr>
        <w:pStyle w:val="Textodecomentrio"/>
        <w:rPr>
          <w:rFonts w:hint="eastAsia"/>
        </w:rPr>
      </w:pPr>
    </w:p>
    <w:p w14:paraId="13D1156A" w14:textId="77777777" w:rsidR="00112FEA" w:rsidRDefault="00112FEA">
      <w:pPr>
        <w:pStyle w:val="Textodecomentrio"/>
        <w:rPr>
          <w:rFonts w:hint="eastAsia"/>
        </w:rPr>
      </w:pPr>
      <w:r>
        <w:rPr>
          <w:b/>
          <w:bCs/>
          <w:i/>
          <w:iCs/>
          <w:color w:val="000000"/>
        </w:rPr>
        <w:t>Nota Explicativa 2:</w:t>
      </w:r>
      <w:r>
        <w:rPr>
          <w:i/>
          <w:iCs/>
          <w:color w:val="000000"/>
        </w:rPr>
        <w:t xml:space="preserve"> A subcontratação deve ser avaliada à luz do </w:t>
      </w:r>
      <w:hyperlink r:id="rId14" w:history="1">
        <w:r w:rsidRPr="000C0695">
          <w:rPr>
            <w:rStyle w:val="Hyperlink"/>
            <w:i/>
            <w:iCs/>
          </w:rPr>
          <w:t>artigo 122 da Lei nº 14.133, de 2021</w:t>
        </w:r>
      </w:hyperlink>
      <w:r>
        <w:rPr>
          <w:i/>
          <w:iCs/>
          <w:color w:val="000000"/>
        </w:rPr>
        <w:t>:</w:t>
      </w:r>
    </w:p>
    <w:p w14:paraId="572F431F" w14:textId="77777777" w:rsidR="00112FEA" w:rsidRDefault="00112FEA">
      <w:pPr>
        <w:pStyle w:val="Textodecomentrio"/>
        <w:rPr>
          <w:rFonts w:hint="eastAsia"/>
        </w:rPr>
      </w:pPr>
      <w:r>
        <w:rPr>
          <w:i/>
          <w:iCs/>
          <w:color w:val="000000"/>
        </w:rPr>
        <w:t>“Art. 122. Na execução do contrato e sem prejuízo das responsabilidades contratuais e legais, o contratado poderá subcontratar partes da obra, do serviço ou do fornecimento até o limite autorizado, em cada caso, pela Administração.</w:t>
      </w:r>
    </w:p>
    <w:p w14:paraId="4B2EDE44" w14:textId="77777777" w:rsidR="00112FEA" w:rsidRDefault="00112FEA">
      <w:pPr>
        <w:pStyle w:val="Textodecomentrio"/>
        <w:rPr>
          <w:rFonts w:hint="eastAsia"/>
        </w:rPr>
      </w:pPr>
      <w:r>
        <w:rPr>
          <w:i/>
          <w:iCs/>
          <w:color w:val="000000"/>
        </w:rPr>
        <w:t>§ 1º O contratado apresentará à Administração documentação que comprove a capacidade técnica do subcontratado, que será avaliada e juntada aos autos do processo correspondente.</w:t>
      </w:r>
    </w:p>
    <w:p w14:paraId="6011C705" w14:textId="77777777" w:rsidR="00112FEA" w:rsidRDefault="00112FEA">
      <w:pPr>
        <w:pStyle w:val="Textodecomentrio"/>
        <w:rPr>
          <w:rFonts w:hint="eastAsia"/>
        </w:rPr>
      </w:pPr>
      <w:r>
        <w:rPr>
          <w:i/>
          <w:iCs/>
          <w:color w:val="000000"/>
        </w:rPr>
        <w:t>§ 2º Regulamento ou edital de licitação poderão vedar, restringir ou estabelecer condições para a subcontratação.</w:t>
      </w:r>
    </w:p>
    <w:p w14:paraId="54FAF1F7" w14:textId="77777777" w:rsidR="00112FEA" w:rsidRDefault="00112FEA" w:rsidP="00AB6588">
      <w:pPr>
        <w:pStyle w:val="Textodecomentrio"/>
        <w:rPr>
          <w:rFonts w:hint="eastAsia"/>
        </w:rPr>
      </w:pPr>
      <w:r>
        <w:rPr>
          <w:i/>
          <w:iCs/>
          <w:color w:val="000000"/>
        </w:rPr>
        <w:t>§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comment>
  <w:comment w:id="10" w:author="Autor" w:initials="A">
    <w:p w14:paraId="1E17725F" w14:textId="7162C6E1" w:rsidR="00921A92" w:rsidRDefault="728E6B8C" w:rsidP="728E6B8C">
      <w:pPr>
        <w:rPr>
          <w:rFonts w:hint="eastAsia"/>
        </w:rPr>
      </w:pPr>
      <w:r w:rsidRPr="728E6B8C">
        <w:rPr>
          <w:b/>
          <w:bCs/>
          <w:i/>
          <w:iCs/>
        </w:rPr>
        <w:t xml:space="preserve">Nota Explicativa 1: </w:t>
      </w:r>
      <w:r w:rsidRPr="728E6B8C">
        <w:rPr>
          <w:i/>
          <w:iCs/>
        </w:rPr>
        <w:t>Neste momento, a área técnica competente deverá indicar se a contratação utilizará a garantia de execução ou não. As regras especificas sobre garantia, pelo seu caráter jurídico, estarão previstas no contrato e deverão ser nele inseridas caso haja indicação positiva no Termo de Referência. Caso não haja uso de minuta contratual, recomenda-se copiar e colar aqui as regras do contrato sobre esse assunto.</w:t>
      </w:r>
      <w:r w:rsidR="00921A92">
        <w:annotationRef/>
      </w:r>
    </w:p>
    <w:p w14:paraId="2BEB7B25" w14:textId="698B71A7" w:rsidR="00921A92" w:rsidRDefault="00921A92" w:rsidP="728E6B8C">
      <w:pPr>
        <w:rPr>
          <w:rFonts w:hint="eastAsia"/>
        </w:rPr>
      </w:pPr>
    </w:p>
    <w:p w14:paraId="7D5D1F91" w14:textId="34F5A558" w:rsidR="00921A92" w:rsidRDefault="728E6B8C" w:rsidP="728E6B8C">
      <w:pPr>
        <w:rPr>
          <w:rFonts w:hint="eastAsia"/>
        </w:rPr>
      </w:pPr>
      <w:r w:rsidRPr="728E6B8C">
        <w:rPr>
          <w:b/>
          <w:bCs/>
          <w:i/>
          <w:iCs/>
        </w:rPr>
        <w:t>Nota Explicativa 2</w:t>
      </w:r>
      <w:r w:rsidRPr="728E6B8C">
        <w:rPr>
          <w:i/>
          <w:iCs/>
        </w:rPr>
        <w:t>: O percentual da garantia será de:</w:t>
      </w:r>
    </w:p>
    <w:p w14:paraId="4802BB3D" w14:textId="6C7E4A62" w:rsidR="00921A92" w:rsidRDefault="728E6B8C" w:rsidP="728E6B8C">
      <w:pPr>
        <w:rPr>
          <w:rFonts w:hint="eastAsia"/>
        </w:rPr>
      </w:pPr>
      <w:r w:rsidRPr="728E6B8C">
        <w:rPr>
          <w:i/>
          <w:iCs/>
        </w:rPr>
        <w:t>a) até 5% (cinco por cento) do</w:t>
      </w:r>
    </w:p>
    <w:p w14:paraId="596815D8" w14:textId="7BBFBD46" w:rsidR="00921A92" w:rsidRDefault="728E6B8C" w:rsidP="728E6B8C">
      <w:pPr>
        <w:rPr>
          <w:rFonts w:hint="eastAsia"/>
        </w:rPr>
      </w:pPr>
      <w:r w:rsidRPr="728E6B8C">
        <w:rPr>
          <w:i/>
          <w:iCs/>
        </w:rPr>
        <w:t xml:space="preserve">valor inicial do contrato, para contratações em geral, conforme </w:t>
      </w:r>
      <w:hyperlink r:id="rId15" w:anchor="art98">
        <w:r w:rsidRPr="728E6B8C">
          <w:rPr>
            <w:rStyle w:val="Hyperlink"/>
            <w:i/>
            <w:iCs/>
          </w:rPr>
          <w:t>art. 98 da Lei nº 14.133, de 2021</w:t>
        </w:r>
      </w:hyperlink>
      <w:r w:rsidRPr="728E6B8C">
        <w:rPr>
          <w:i/>
          <w:iCs/>
        </w:rPr>
        <w:t>;</w:t>
      </w:r>
    </w:p>
    <w:p w14:paraId="2CA5AA7C" w14:textId="678093E0" w:rsidR="00921A92" w:rsidRDefault="728E6B8C" w:rsidP="728E6B8C">
      <w:pPr>
        <w:rPr>
          <w:rFonts w:hint="eastAsia"/>
        </w:rPr>
      </w:pPr>
      <w:r w:rsidRPr="728E6B8C">
        <w:rPr>
          <w:i/>
          <w:iCs/>
        </w:rPr>
        <w:t>b) até 10% (dez por cento) do</w:t>
      </w:r>
    </w:p>
    <w:p w14:paraId="4C2C2474" w14:textId="6D1A4BE2" w:rsidR="00921A92" w:rsidRDefault="728E6B8C" w:rsidP="728E6B8C">
      <w:pPr>
        <w:rPr>
          <w:rFonts w:hint="eastAsia"/>
        </w:rPr>
      </w:pPr>
      <w:r w:rsidRPr="728E6B8C">
        <w:rPr>
          <w:i/>
          <w:iCs/>
        </w:rPr>
        <w:t>valor inicial do contrato, nos casos de alta complexidade técnica e riscos</w:t>
      </w:r>
    </w:p>
    <w:p w14:paraId="797A8033" w14:textId="3EDD4569" w:rsidR="00921A92" w:rsidRDefault="728E6B8C" w:rsidP="728E6B8C">
      <w:pPr>
        <w:rPr>
          <w:rFonts w:hint="eastAsia"/>
        </w:rPr>
      </w:pPr>
      <w:r w:rsidRPr="728E6B8C">
        <w:rPr>
          <w:i/>
          <w:iCs/>
        </w:rPr>
        <w:t>envolvidos, caso em que deverá haver justificativa específica nos autos,</w:t>
      </w:r>
    </w:p>
    <w:p w14:paraId="40BD4CEC" w14:textId="5540050D" w:rsidR="00921A92" w:rsidRDefault="728E6B8C" w:rsidP="728E6B8C">
      <w:pPr>
        <w:rPr>
          <w:rFonts w:hint="eastAsia"/>
        </w:rPr>
      </w:pPr>
      <w:r w:rsidRPr="728E6B8C">
        <w:rPr>
          <w:i/>
          <w:iCs/>
        </w:rPr>
        <w:t>conforme art. 98 da Lei nº 14.133, de 2021;</w:t>
      </w:r>
    </w:p>
    <w:p w14:paraId="25141F3A" w14:textId="02CD20D3" w:rsidR="00921A92" w:rsidRDefault="728E6B8C" w:rsidP="728E6B8C">
      <w:pPr>
        <w:rPr>
          <w:rFonts w:hint="eastAsia"/>
        </w:rPr>
      </w:pPr>
      <w:r w:rsidRPr="728E6B8C">
        <w:rPr>
          <w:i/>
          <w:iCs/>
        </w:rPr>
        <w:t>c) deverá ser acrescido de</w:t>
      </w:r>
    </w:p>
    <w:p w14:paraId="671F9C05" w14:textId="66AD3B62" w:rsidR="00921A92" w:rsidRDefault="728E6B8C" w:rsidP="728E6B8C">
      <w:pPr>
        <w:rPr>
          <w:rFonts w:hint="eastAsia"/>
        </w:rPr>
      </w:pPr>
      <w:r w:rsidRPr="728E6B8C">
        <w:rPr>
          <w:i/>
          <w:iCs/>
        </w:rPr>
        <w:t>garantia adicional aos percentuais citados anteriormente, em casos de previsão</w:t>
      </w:r>
    </w:p>
    <w:p w14:paraId="05FDEB90" w14:textId="3E8B28B6" w:rsidR="00921A92" w:rsidRDefault="728E6B8C" w:rsidP="728E6B8C">
      <w:pPr>
        <w:rPr>
          <w:rFonts w:hint="eastAsia"/>
        </w:rPr>
      </w:pPr>
      <w:r w:rsidRPr="728E6B8C">
        <w:rPr>
          <w:i/>
          <w:iCs/>
        </w:rPr>
        <w:t xml:space="preserve">de antecipação de pagamento, nos termos do </w:t>
      </w:r>
      <w:hyperlink r:id="rId16" w:anchor="art145§2">
        <w:r w:rsidRPr="728E6B8C">
          <w:rPr>
            <w:rStyle w:val="Hyperlink"/>
            <w:i/>
            <w:iCs/>
          </w:rPr>
          <w:t>art. 145, § 2º, da Lei nº 14.133, de 2021</w:t>
        </w:r>
      </w:hyperlink>
      <w:r w:rsidRPr="728E6B8C">
        <w:rPr>
          <w:i/>
          <w:iCs/>
        </w:rPr>
        <w:t>;</w:t>
      </w:r>
    </w:p>
    <w:p w14:paraId="2E33F19A" w14:textId="782FDC40" w:rsidR="00921A92" w:rsidRDefault="728E6B8C" w:rsidP="728E6B8C">
      <w:pPr>
        <w:rPr>
          <w:rFonts w:hint="eastAsia"/>
        </w:rPr>
      </w:pPr>
      <w:r w:rsidRPr="728E6B8C">
        <w:rPr>
          <w:i/>
          <w:iCs/>
        </w:rPr>
        <w:t>d) Nos casos de contratos que impliquem a entrega de bens pela Administração, dos quais o contratado ficará depositário, o valor desses bens deverá ser acrescido ao valor da garantia calculado de acordo com os itens anteriores.</w:t>
      </w:r>
    </w:p>
    <w:p w14:paraId="2AFA1CB9" w14:textId="391220FF" w:rsidR="00921A92" w:rsidRDefault="00921A92" w:rsidP="728E6B8C">
      <w:pPr>
        <w:rPr>
          <w:rFonts w:hint="eastAsia"/>
        </w:rPr>
      </w:pPr>
    </w:p>
    <w:p w14:paraId="7BF43287" w14:textId="454FC709" w:rsidR="00921A92" w:rsidRDefault="728E6B8C" w:rsidP="728E6B8C">
      <w:pPr>
        <w:rPr>
          <w:rFonts w:hint="eastAsia"/>
        </w:rPr>
      </w:pPr>
      <w:r w:rsidRPr="728E6B8C">
        <w:rPr>
          <w:b/>
          <w:bCs/>
          <w:i/>
          <w:iCs/>
        </w:rPr>
        <w:t xml:space="preserve">Nota Explicativa 3: </w:t>
      </w:r>
      <w:r w:rsidRPr="728E6B8C">
        <w:rPr>
          <w:i/>
          <w:iCs/>
        </w:rPr>
        <w:t xml:space="preserve">No </w:t>
      </w:r>
      <w:hyperlink r:id="rId17" w:anchor="art96§3">
        <w:r w:rsidRPr="728E6B8C">
          <w:rPr>
            <w:rStyle w:val="Hyperlink"/>
            <w:i/>
            <w:iCs/>
          </w:rPr>
          <w:t>art. 96, §3º, da Lei nº 14.133, de 2021</w:t>
        </w:r>
      </w:hyperlink>
      <w:r w:rsidRPr="728E6B8C">
        <w:rPr>
          <w:i/>
          <w:iCs/>
        </w:rPr>
        <w:t>, há previsão apenas do prazo para apresentação da garantia na modalidade seguro-garantia, em contratações precedidas de licitações, caso em que o prazo deverá ser contado da homologação da licitação. Nas demais modalidades, deverá a Administração prever o prazo e o termo início de sua contagem para a apresentação da garantia. Como o seguro-garantia, nos termos da lei, teria de ser pré-contratual, esta disposição deve estar contida neste documento igualmente pré-contratual.</w:t>
      </w:r>
    </w:p>
    <w:p w14:paraId="4A1F7636" w14:textId="5EED1F45" w:rsidR="00921A92" w:rsidRDefault="00921A92" w:rsidP="728E6B8C">
      <w:pPr>
        <w:rPr>
          <w:rFonts w:hint="eastAsia"/>
        </w:rPr>
      </w:pPr>
    </w:p>
    <w:p w14:paraId="393F557F" w14:textId="15EA091D" w:rsidR="00921A92" w:rsidRDefault="00921A92" w:rsidP="728E6B8C">
      <w:pPr>
        <w:rPr>
          <w:rFonts w:hint="eastAsia"/>
        </w:rPr>
      </w:pPr>
    </w:p>
  </w:comment>
  <w:comment w:id="11" w:author="Autor" w:initials="A">
    <w:p w14:paraId="555AE616" w14:textId="108EB888" w:rsidR="049E4FCA" w:rsidRDefault="049E4FCA">
      <w:pPr>
        <w:pStyle w:val="Textodecomentrio"/>
        <w:rPr>
          <w:rFonts w:hint="eastAsia"/>
        </w:rPr>
      </w:pPr>
      <w:r w:rsidRPr="049E4FCA">
        <w:rPr>
          <w:b/>
          <w:bCs/>
        </w:rPr>
        <w:t>Nota explicativa</w:t>
      </w:r>
      <w:r>
        <w:t>: Este item deve ser adaptado de acordo com as necessidades específicas do órgão ou entidade, apresentando-se, este modelo, de forma meramente exemplificativa.</w:t>
      </w:r>
      <w:r>
        <w:rPr>
          <w:rStyle w:val="Refdecomentrio"/>
        </w:rPr>
        <w:annotationRef/>
      </w:r>
    </w:p>
  </w:comment>
  <w:comment w:id="12" w:author="Autor" w:initials="A">
    <w:p w14:paraId="75DEED4F" w14:textId="77777777" w:rsidR="00112FEA" w:rsidRDefault="00112FEA" w:rsidP="06F4C4AC">
      <w:pPr>
        <w:rPr>
          <w:rFonts w:hint="eastAsia"/>
        </w:rPr>
      </w:pPr>
      <w:r w:rsidRPr="06F4C4AC">
        <w:rPr>
          <w:b/>
          <w:bCs/>
          <w:i/>
          <w:iCs/>
          <w:color w:val="000000" w:themeColor="text1"/>
        </w:rPr>
        <w:t>Nota Explicativa 1:</w:t>
      </w:r>
      <w:r w:rsidRPr="06F4C4AC">
        <w:rPr>
          <w:i/>
          <w:iCs/>
          <w:color w:val="000000" w:themeColor="text1"/>
        </w:rPr>
        <w:t xml:space="preserve"> Fica a critério da Administração exigir - ou não - a garantia contratual dos bens, complementar à garantia legal, mediante a devida fundamentação, a ser exposta neste item do Termo de Referência. Não a exigindo, deverá suprimir o item. </w:t>
      </w:r>
      <w:r>
        <w:annotationRef/>
      </w:r>
    </w:p>
    <w:p w14:paraId="60EB2E6E" w14:textId="77777777" w:rsidR="00112FEA" w:rsidRDefault="00112FEA" w:rsidP="06F4C4AC">
      <w:pPr>
        <w:rPr>
          <w:rFonts w:hint="eastAsia"/>
        </w:rPr>
      </w:pPr>
    </w:p>
    <w:p w14:paraId="68F91D16" w14:textId="77777777" w:rsidR="00112FEA" w:rsidRDefault="00112FEA" w:rsidP="06F4C4AC">
      <w:pPr>
        <w:rPr>
          <w:rFonts w:hint="eastAsia"/>
        </w:rPr>
      </w:pPr>
      <w:r w:rsidRPr="06F4C4AC">
        <w:rPr>
          <w:b/>
          <w:bCs/>
          <w:i/>
          <w:iCs/>
          <w:color w:val="000000" w:themeColor="text1"/>
        </w:rPr>
        <w:t>Nota Explicativa 2</w:t>
      </w:r>
      <w:r w:rsidRPr="06F4C4AC">
        <w:rPr>
          <w:i/>
          <w:iCs/>
          <w:color w:val="000000" w:themeColor="text1"/>
        </w:rPr>
        <w:t xml:space="preserve">: O </w:t>
      </w:r>
      <w:hyperlink r:id="rId18">
        <w:r w:rsidRPr="06F4C4AC">
          <w:rPr>
            <w:rStyle w:val="Hyperlink"/>
            <w:i/>
            <w:iCs/>
          </w:rPr>
          <w:t xml:space="preserve">artigo 9º, inciso alínea “d” </w:t>
        </w:r>
      </w:hyperlink>
      <w:hyperlink r:id="rId19">
        <w:r w:rsidRPr="06F4C4AC">
          <w:rPr>
            <w:rStyle w:val="Hyperlink"/>
            <w:i/>
            <w:iCs/>
          </w:rPr>
          <w:t>da IN Seges/ME nº 81</w:t>
        </w:r>
      </w:hyperlink>
      <w:r w:rsidRPr="06F4C4AC">
        <w:rPr>
          <w:i/>
          <w:iCs/>
        </w:rPr>
        <w:t xml:space="preserve"> de 2022 ex</w:t>
      </w:r>
      <w:r w:rsidRPr="06F4C4AC">
        <w:rPr>
          <w:i/>
          <w:iCs/>
          <w:color w:val="000000" w:themeColor="text1"/>
        </w:rPr>
        <w:t>ige que a inserção no TR Digital da especificação da garantia exigida e das condições de manutenção e assistência técnica, quando for o caso.</w:t>
      </w:r>
    </w:p>
  </w:comment>
  <w:comment w:id="13" w:author="Autor" w:initials="A">
    <w:p w14:paraId="319158C7" w14:textId="58EB4C72" w:rsidR="00112FEA" w:rsidRDefault="00112FEA" w:rsidP="06F4C4AC">
      <w:pPr>
        <w:rPr>
          <w:rFonts w:hint="eastAsia"/>
        </w:rPr>
      </w:pPr>
      <w:r w:rsidRPr="06F4C4AC">
        <w:rPr>
          <w:b/>
          <w:bCs/>
        </w:rPr>
        <w:t xml:space="preserve">Nota Explicativa: </w:t>
      </w:r>
      <w:r>
        <w:t>Sugere-se esta redação para material de consumo</w:t>
      </w:r>
      <w:r>
        <w:annotationRef/>
      </w:r>
    </w:p>
  </w:comment>
  <w:comment w:id="14" w:author="Autor" w:initials="A">
    <w:p w14:paraId="05C09471" w14:textId="77777777" w:rsidR="00112FEA" w:rsidRDefault="00112FEA" w:rsidP="00AB6588">
      <w:pPr>
        <w:pStyle w:val="Textodecomentrio"/>
        <w:rPr>
          <w:rFonts w:hint="eastAsia"/>
        </w:rPr>
      </w:pPr>
      <w:r>
        <w:rPr>
          <w:rStyle w:val="Refdecomentrio"/>
        </w:rPr>
        <w:annotationRef/>
      </w:r>
      <w:r>
        <w:rPr>
          <w:b/>
          <w:bCs/>
        </w:rPr>
        <w:t xml:space="preserve">Nota Explicativa: </w:t>
      </w:r>
      <w:r>
        <w:t xml:space="preserve">Os gestores e fiscais do contrato serão designados pela autoridade máxima do órgão ou da entidade, ou a quem as normas de organização administrativa indicarem, na forma do </w:t>
      </w:r>
      <w:hyperlink r:id="rId20" w:history="1">
        <w:r w:rsidRPr="000772F8">
          <w:rPr>
            <w:rStyle w:val="Hyperlink"/>
          </w:rPr>
          <w:t>art. 7º da Lei nº 14.133, de 2021</w:t>
        </w:r>
      </w:hyperlink>
      <w:r>
        <w:t xml:space="preserve">, e art. 8º do </w:t>
      </w:r>
      <w:hyperlink r:id="rId21" w:history="1">
        <w:r w:rsidRPr="000772F8">
          <w:rPr>
            <w:rStyle w:val="Hyperlink"/>
          </w:rPr>
          <w:t>Decreto nº 11.246, de 2022</w:t>
        </w:r>
      </w:hyperlink>
      <w:r>
        <w:t>, devendo a Administração instruir os autos com as publicações dos atos de designação dos agentes públicos para o exercício dessas funções.</w:t>
      </w:r>
    </w:p>
  </w:comment>
  <w:comment w:id="15" w:author="Autor" w:initials="A">
    <w:p w14:paraId="304C5436" w14:textId="602E2AB8" w:rsidR="0089757E" w:rsidRDefault="0089757E">
      <w:pPr>
        <w:pStyle w:val="Textodecomentrio"/>
        <w:rPr>
          <w:rFonts w:hint="eastAsia"/>
        </w:rPr>
      </w:pPr>
      <w:r>
        <w:rPr>
          <w:rStyle w:val="Refdecomentrio"/>
        </w:rPr>
        <w:annotationRef/>
      </w:r>
      <w:r w:rsidRPr="0089757E">
        <w:rPr>
          <w:b/>
        </w:rPr>
        <w:t>Nota Explicativa:</w:t>
      </w:r>
      <w:r w:rsidRPr="0089757E">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16" w:author="Autor" w:initials="A">
    <w:p w14:paraId="54D2DD8B" w14:textId="77777777" w:rsidR="00112FEA" w:rsidRDefault="00112FEA" w:rsidP="00AB6588">
      <w:pPr>
        <w:pStyle w:val="Textodecomentrio"/>
        <w:rPr>
          <w:rFonts w:hint="eastAsia"/>
        </w:rPr>
      </w:pPr>
      <w:r>
        <w:rPr>
          <w:rStyle w:val="Refdecomentrio"/>
        </w:rPr>
        <w:annotationRef/>
      </w:r>
      <w:r>
        <w:rPr>
          <w:b/>
          <w:bCs/>
          <w:i/>
          <w:iCs/>
          <w:color w:val="000000"/>
        </w:rPr>
        <w:t>Nota explicativa:</w:t>
      </w:r>
      <w:r>
        <w:rPr>
          <w:i/>
          <w:iCs/>
          <w:color w:val="000000"/>
        </w:rPr>
        <w:t xml:space="preserve"> O art. 7º, inciso I, </w:t>
      </w:r>
      <w:hyperlink r:id="rId22" w:history="1">
        <w:r w:rsidRPr="00F63382">
          <w:rPr>
            <w:rStyle w:val="Hyperlink"/>
            <w:i/>
            <w:iCs/>
          </w:rPr>
          <w:t>da Instrução Normativa SEGES/ME nº 77, de 4 de novembro de 2022</w:t>
        </w:r>
      </w:hyperlink>
      <w:r>
        <w:rPr>
          <w:i/>
          <w:iCs/>
          <w:color w:val="000000"/>
        </w:rPr>
        <w:t xml:space="preserve">, estabelece o prazo de 10 (dez dias) úteis para a liquidação da despesa, </w:t>
      </w:r>
      <w:r>
        <w:rPr>
          <w:b/>
          <w:bCs/>
          <w:i/>
          <w:iCs/>
          <w:color w:val="000000"/>
        </w:rPr>
        <w:t xml:space="preserve">a contar do recebimento da nota fiscal ou instrumento de cobrança equivalente </w:t>
      </w:r>
      <w:r>
        <w:rPr>
          <w:i/>
          <w:iCs/>
          <w:color w:val="000000"/>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b/>
          <w:bCs/>
          <w:i/>
          <w:iCs/>
          <w:color w:val="000000"/>
        </w:rPr>
        <w:t>o prazo máximo de 10 dias úteis deverá ser suficiente para as providências de recebimentos provisório, definitivo e de liquidação</w:t>
      </w:r>
      <w:r>
        <w:rPr>
          <w:i/>
          <w:iCs/>
          <w:color w:val="000000"/>
        </w:rPr>
        <w:t xml:space="preserve">. Assim, embora a </w:t>
      </w:r>
      <w:hyperlink r:id="rId23" w:history="1">
        <w:r w:rsidRPr="00F63382">
          <w:rPr>
            <w:rStyle w:val="Hyperlink"/>
            <w:i/>
            <w:iCs/>
          </w:rPr>
          <w:t>Lei nº 14.133/21</w:t>
        </w:r>
      </w:hyperlink>
      <w:r>
        <w:rPr>
          <w:i/>
          <w:iCs/>
          <w:color w:val="000000"/>
        </w:rPr>
        <w:t xml:space="preserve"> não fixe prazo máximo de recebimento definitivo, este prazo deverá ser inferior ao fixado para liquidação de despesa pela </w:t>
      </w:r>
      <w:hyperlink r:id="rId24" w:history="1">
        <w:r w:rsidRPr="00F63382">
          <w:rPr>
            <w:rStyle w:val="Hyperlink"/>
            <w:i/>
            <w:iCs/>
          </w:rPr>
          <w:t>IN SEGES/ME nº 77, de 2022</w:t>
        </w:r>
      </w:hyperlink>
      <w:r>
        <w:rPr>
          <w:i/>
          <w:iCs/>
          <w:color w:val="000000"/>
        </w:rPr>
        <w:t>.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17" w:author="Autor" w:initials="A">
    <w:p w14:paraId="39EA27C5" w14:textId="77777777" w:rsidR="00112FEA" w:rsidRDefault="00112FEA" w:rsidP="00AB6588">
      <w:pPr>
        <w:pStyle w:val="Textodecomentrio"/>
        <w:rPr>
          <w:rFonts w:hint="eastAsia"/>
        </w:rPr>
      </w:pPr>
      <w:r>
        <w:rPr>
          <w:rStyle w:val="Refdecomentrio"/>
        </w:rPr>
        <w:annotationRef/>
      </w:r>
      <w:r>
        <w:rPr>
          <w:b/>
          <w:bCs/>
          <w:i/>
          <w:iCs/>
          <w:color w:val="000000"/>
        </w:rPr>
        <w:t xml:space="preserve">Nota Explicativa: </w:t>
      </w:r>
      <w:r>
        <w:rPr>
          <w:i/>
          <w:iCs/>
          <w:color w:val="000000"/>
        </w:rPr>
        <w:t xml:space="preserve">Observar que o artigo 7º, §2º, </w:t>
      </w:r>
      <w:hyperlink r:id="rId25" w:history="1">
        <w:r w:rsidRPr="00F81983">
          <w:rPr>
            <w:rStyle w:val="Hyperlink"/>
            <w:i/>
            <w:iCs/>
          </w:rPr>
          <w:t>da Instrução Normativa nº 77, de 2022</w:t>
        </w:r>
      </w:hyperlink>
      <w:r>
        <w:rPr>
          <w:i/>
          <w:iCs/>
          <w:color w:val="000000"/>
        </w:rPr>
        <w:t xml:space="preserve">, prevê que “Para as contratações decorrentes de despesas cujos valores não ultrapassem o limite de que trata o inciso II do </w:t>
      </w:r>
      <w:hyperlink r:id="rId26" w:history="1">
        <w:r w:rsidRPr="00F81983">
          <w:rPr>
            <w:rStyle w:val="Hyperlink"/>
            <w:i/>
            <w:iCs/>
          </w:rPr>
          <w:t>art. 75 da Lei nº 14.133, de 2021</w:t>
        </w:r>
      </w:hyperlink>
      <w:r>
        <w:rPr>
          <w:i/>
          <w:iCs/>
          <w:color w:val="000000"/>
        </w:rPr>
        <w:t xml:space="preserve">, os prazos de que dos incisos I e II do caput </w:t>
      </w:r>
      <w:r>
        <w:rPr>
          <w:b/>
          <w:bCs/>
          <w:i/>
          <w:iCs/>
          <w:color w:val="000000"/>
        </w:rPr>
        <w:t>serão reduzidos pela metade</w:t>
      </w:r>
      <w:r>
        <w:rPr>
          <w:i/>
          <w:iCs/>
          <w:color w:val="000000"/>
        </w:rPr>
        <w:t>.” (g.n). Como o prazo máximo de liquidação será reduzido pela metade, então o prazo de recebimento também deverá ser ajustado.</w:t>
      </w:r>
    </w:p>
  </w:comment>
  <w:comment w:id="18" w:author="Autor" w:initials="A">
    <w:p w14:paraId="05D9AF48" w14:textId="77777777" w:rsidR="00112FEA" w:rsidRDefault="00112FEA" w:rsidP="00AB6588">
      <w:pPr>
        <w:pStyle w:val="Textodecomentrio"/>
        <w:rPr>
          <w:rFonts w:hint="eastAsia"/>
        </w:rPr>
      </w:pPr>
      <w:r>
        <w:rPr>
          <w:rStyle w:val="Refdecomentrio"/>
        </w:rPr>
        <w:annotationRef/>
      </w:r>
      <w:r>
        <w:rPr>
          <w:b/>
          <w:bCs/>
          <w:i/>
          <w:iCs/>
          <w:color w:val="000000"/>
        </w:rPr>
        <w:t>Nota Explicativa:</w:t>
      </w:r>
      <w:r>
        <w:rPr>
          <w:i/>
          <w:iCs/>
          <w:color w:val="000000"/>
        </w:rPr>
        <w:t xml:space="preserve"> Deverá a Administração indicar o índice de preços a ser utilizado para a atualização monetária do valor devido ao contratado.</w:t>
      </w:r>
    </w:p>
  </w:comment>
  <w:comment w:id="19" w:author="Autor" w:initials="A">
    <w:p w14:paraId="02977081" w14:textId="77777777" w:rsidR="00112FEA" w:rsidRDefault="00112FEA" w:rsidP="00AB6588">
      <w:pPr>
        <w:pStyle w:val="Textodecomentrio"/>
        <w:rPr>
          <w:rFonts w:hint="eastAsia"/>
        </w:rPr>
      </w:pPr>
      <w:r>
        <w:rPr>
          <w:rStyle w:val="Refdecomentrio"/>
        </w:rPr>
        <w:annotationRef/>
      </w:r>
      <w:r>
        <w:rPr>
          <w:b/>
          <w:bCs/>
          <w:i/>
          <w:iCs/>
          <w:color w:val="000000"/>
        </w:rPr>
        <w:t xml:space="preserve">Nota Explicativa: </w:t>
      </w:r>
      <w:r>
        <w:rPr>
          <w:i/>
          <w:iCs/>
          <w:color w:val="000000"/>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20" w:author="Autor" w:initials="A">
    <w:p w14:paraId="053DB1F1" w14:textId="77777777" w:rsidR="004B2E96" w:rsidRDefault="00112FEA" w:rsidP="004B2E96">
      <w:pPr>
        <w:rPr>
          <w:rFonts w:hint="eastAsia"/>
        </w:rPr>
      </w:pPr>
      <w:r>
        <w:rPr>
          <w:rStyle w:val="Refdecomentrio"/>
        </w:rPr>
        <w:annotationRef/>
      </w:r>
      <w:r>
        <w:rPr>
          <w:b/>
          <w:bCs/>
          <w:i/>
          <w:iCs/>
          <w:color w:val="000000"/>
        </w:rPr>
        <w:t>Nota Explicativa:</w:t>
      </w:r>
      <w:r>
        <w:rPr>
          <w:i/>
          <w:iCs/>
          <w:color w:val="000000"/>
        </w:rPr>
        <w:t xml:space="preserve"> </w:t>
      </w:r>
      <w:r w:rsidR="004B2E96" w:rsidRPr="0C492A58">
        <w:rPr>
          <w:i/>
          <w:iCs/>
        </w:rPr>
        <w:t xml:space="preserve">A IN SEGES/ME nº 53, de 2020, disciplinou uma modalidade específica de </w:t>
      </w:r>
      <w:r w:rsidR="004B2E96">
        <w:rPr>
          <w:i/>
          <w:iCs/>
        </w:rPr>
        <w:t xml:space="preserve">operação </w:t>
      </w:r>
      <w:r w:rsidR="004B2E96" w:rsidRPr="0C492A58">
        <w:rPr>
          <w:i/>
          <w:iCs/>
        </w:rPr>
        <w:t>de crédito no âmbito dos contratos administrativos – a denominada “operação de crédito garantida por cessão fiduciária” (ou, simplesmente, “cessão fiduciária”) –, prescrevendo, em seu art. 15, que editais e contratos prevejam expressamente sua admissibilidade. A possibilidade de cessão dos créditos de que trata a referida Instrução Normativa é, portanto, mandatória/cogente/impositiva.</w:t>
      </w:r>
      <w:r w:rsidR="004B2E96">
        <w:annotationRef/>
      </w:r>
    </w:p>
    <w:p w14:paraId="2AE03050" w14:textId="77777777" w:rsidR="004B2E96" w:rsidRDefault="004B2E96" w:rsidP="004B2E96">
      <w:pPr>
        <w:rPr>
          <w:rFonts w:hint="eastAsia"/>
        </w:rPr>
      </w:pPr>
      <w:r w:rsidRPr="0C492A58">
        <w:rPr>
          <w:i/>
          <w:iCs/>
        </w:rPr>
        <w:t>A cessão fiduciária, regida pela IN SEGES/ME nº 53/2020, é feita com instituição financeira, para garantia de operação de crédito e ocorre por intermédio do sistema AntecipaGOV. Neste tipo de negócio jurídico, o fornecedor que detém um vínculo contratual com a Administração Pública, contrai empréstimo perante instituição financeira e, como garantia da operação, cede a esta última seus direitos creditórios pertinentes ao contrato administrativo</w:t>
      </w:r>
      <w:r>
        <w:rPr>
          <w:i/>
          <w:iCs/>
        </w:rPr>
        <w:t>, mas sem envolver a alteração subjetiva do polo contratual. A instituição financeira não passa a receber diretamente da Administração Pública; os pagamentos continuam sendo feitos à contratada, que indica conta corrente para este fim</w:t>
      </w:r>
      <w:r w:rsidRPr="0C492A58">
        <w:rPr>
          <w:i/>
          <w:iCs/>
        </w:rPr>
        <w:t>.</w:t>
      </w:r>
      <w:r>
        <w:rPr>
          <w:i/>
          <w:iCs/>
        </w:rPr>
        <w:t xml:space="preserve"> É do recebimento do pagamento pela contratada em diante que é realizado o acertamento entre esta e a instituição financeira.</w:t>
      </w:r>
    </w:p>
    <w:p w14:paraId="75AA24A8" w14:textId="77777777" w:rsidR="004B2E96" w:rsidRDefault="004B2E96" w:rsidP="004B2E96">
      <w:pPr>
        <w:rPr>
          <w:rFonts w:hint="eastAsia"/>
        </w:rPr>
      </w:pPr>
      <w:r w:rsidRPr="0C492A58">
        <w:rPr>
          <w:i/>
          <w:iCs/>
        </w:rPr>
        <w:t xml:space="preserve">Já em relação às demais modalidades de cessão de crédito, não abrangidas pela IN SEGES/ME nº 53/2020, feitas </w:t>
      </w:r>
      <w:r>
        <w:rPr>
          <w:i/>
          <w:iCs/>
        </w:rPr>
        <w:t>fora da plataforma AntecipaGov</w:t>
      </w:r>
      <w:r w:rsidRPr="0C492A58">
        <w:rPr>
          <w:i/>
          <w:iCs/>
        </w:rPr>
        <w:t>, tem-se que sua previsão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(arts. 40, §1º e 41 da Lei Complementar nº 73, de 1993).</w:t>
      </w:r>
    </w:p>
    <w:p w14:paraId="1B0F3320" w14:textId="0ECD2B0B" w:rsidR="00112FEA" w:rsidRDefault="004B2E96" w:rsidP="004B2E96">
      <w:pPr>
        <w:pStyle w:val="Textodecomentrio"/>
        <w:rPr>
          <w:rFonts w:hint="eastAsia"/>
        </w:rPr>
      </w:pPr>
      <w:r w:rsidRPr="0C492A58">
        <w:rPr>
          <w:i/>
          <w:iCs/>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r>
        <w:rPr>
          <w:i/>
          <w:iCs/>
        </w:rPr>
        <w:t>.</w:t>
      </w:r>
    </w:p>
  </w:comment>
  <w:comment w:id="22" w:author="Autor" w:initials="A">
    <w:p w14:paraId="795C1825" w14:textId="77777777" w:rsidR="00112FEA" w:rsidRDefault="00112FEA" w:rsidP="004D7440">
      <w:pPr>
        <w:pStyle w:val="Textodecomentrio"/>
        <w:rPr>
          <w:rFonts w:hint="eastAsia"/>
        </w:rPr>
      </w:pPr>
      <w:r>
        <w:rPr>
          <w:rStyle w:val="Refdecomentrio"/>
        </w:rPr>
        <w:annotationRef/>
      </w:r>
      <w:r>
        <w:rPr>
          <w:b/>
          <w:bCs/>
          <w:i/>
          <w:iCs/>
          <w:color w:val="000000"/>
        </w:rPr>
        <w:t>Nota Explicativa:</w:t>
      </w:r>
      <w:r>
        <w:rPr>
          <w:i/>
          <w:iCs/>
          <w:color w:val="000000"/>
        </w:rPr>
        <w:t xml:space="preserve"> No caso do subitem 7.33.1, o órgão contratante pode optar por mudar a redação para já vedar de plano as cessões não fiduciárias. Entretanto, reitera-se que as cessões fiduciárias (subitem 7.33) devem permanecer permitidas, por força do </w:t>
      </w:r>
      <w:hyperlink r:id="rId27" w:history="1">
        <w:r w:rsidRPr="00FC616E">
          <w:rPr>
            <w:rStyle w:val="Hyperlink"/>
            <w:i/>
            <w:iCs/>
          </w:rPr>
          <w:t>art. 15 da IN SEGES/ME nº 53/2020</w:t>
        </w:r>
      </w:hyperlink>
      <w:r>
        <w:rPr>
          <w:i/>
          <w:iCs/>
          <w:color w:val="000000"/>
        </w:rPr>
        <w:t>.</w:t>
      </w:r>
    </w:p>
  </w:comment>
  <w:comment w:id="25" w:author="Autor" w:initials="A">
    <w:p w14:paraId="7FB2D0DC" w14:textId="05F7DE21" w:rsidR="728E6B8C" w:rsidRDefault="728E6B8C">
      <w:pPr>
        <w:rPr>
          <w:rFonts w:hint="eastAsia"/>
        </w:rPr>
      </w:pPr>
      <w:r w:rsidRPr="728E6B8C">
        <w:rPr>
          <w:b/>
          <w:bCs/>
          <w:i/>
          <w:iCs/>
        </w:rPr>
        <w:t xml:space="preserve">Nota Explicativa: </w:t>
      </w:r>
      <w:r>
        <w:t>A INSTRUÇÃO NORMATIVA Nº 53, DE 8 DE JULHO DE 2020 apresenta algumas limitações quanto ao valor da operação de crédito:</w:t>
      </w:r>
      <w:r>
        <w:annotationRef/>
      </w:r>
    </w:p>
    <w:p w14:paraId="3289DBF7" w14:textId="21469358" w:rsidR="728E6B8C" w:rsidRDefault="728E6B8C">
      <w:pPr>
        <w:rPr>
          <w:rFonts w:hint="eastAsia"/>
        </w:rPr>
      </w:pPr>
      <w:r>
        <w:t>Anexo I:</w:t>
      </w:r>
    </w:p>
    <w:p w14:paraId="58120C2A" w14:textId="6CA38B90" w:rsidR="728E6B8C" w:rsidRDefault="728E6B8C">
      <w:pPr>
        <w:rPr>
          <w:rFonts w:hint="eastAsia"/>
        </w:rPr>
      </w:pPr>
      <w:r>
        <w:t xml:space="preserve">"1.2. O </w:t>
      </w:r>
      <w:r w:rsidRPr="728E6B8C">
        <w:rPr>
          <w:b/>
          <w:bCs/>
        </w:rPr>
        <w:t>valor da operação de crédito não poderá exceder a setenta por cento do saldo</w:t>
      </w:r>
      <w:r>
        <w:t xml:space="preserve"> a receber atualizado do(s) contrato(s) selecionado(s) pelas instituições financeiras.</w:t>
      </w:r>
    </w:p>
    <w:p w14:paraId="1D64F3F0" w14:textId="2AD555CF" w:rsidR="728E6B8C" w:rsidRDefault="728E6B8C">
      <w:pPr>
        <w:rPr>
          <w:rFonts w:hint="eastAsia"/>
        </w:rPr>
      </w:pPr>
      <w:r>
        <w:t>(...)</w:t>
      </w:r>
    </w:p>
    <w:p w14:paraId="08BC6D9C" w14:textId="773FF362" w:rsidR="728E6B8C" w:rsidRDefault="728E6B8C">
      <w:pPr>
        <w:rPr>
          <w:rFonts w:hint="eastAsia"/>
        </w:rPr>
      </w:pPr>
      <w:r>
        <w:t xml:space="preserve">a) </w:t>
      </w:r>
      <w:r w:rsidRPr="728E6B8C">
        <w:rPr>
          <w:b/>
          <w:bCs/>
        </w:rPr>
        <w:t xml:space="preserve">o valor máximo da nova operação </w:t>
      </w:r>
      <w:r>
        <w:t>de crédito corresponderá a setenta por cento da diferença entre o saldo atualizado dos créditos do contrato e o saldo devedor atualizado da operação anterior;"</w:t>
      </w:r>
    </w:p>
  </w:comment>
  <w:comment w:id="23" w:author="Autor" w:initials="A">
    <w:p w14:paraId="5BB3F92A" w14:textId="3A4FFEA0" w:rsidR="00112FEA" w:rsidRDefault="00112FEA" w:rsidP="004D7440">
      <w:pPr>
        <w:pStyle w:val="Textodecomentrio"/>
        <w:rPr>
          <w:rFonts w:hint="eastAsia"/>
        </w:rPr>
      </w:pPr>
      <w:r>
        <w:rPr>
          <w:rStyle w:val="Refdecomentrio"/>
        </w:rPr>
        <w:annotationRef/>
      </w:r>
      <w:r>
        <w:rPr>
          <w:b/>
          <w:bCs/>
          <w:i/>
          <w:iCs/>
          <w:color w:val="000000"/>
        </w:rPr>
        <w:t>Nota Explicativa:</w:t>
      </w:r>
      <w:r w:rsidR="004B2E96" w:rsidRPr="007D061F">
        <w:rPr>
          <w:b/>
          <w:bCs/>
          <w:i/>
          <w:iCs/>
        </w:rPr>
        <w:t xml:space="preserve"> </w:t>
      </w:r>
      <w:r w:rsidR="004B2E96">
        <w:t>Conforme exposto, a operação de crédito realizada por meio do AntecipaGov não configura uma cessão de crédito tratada no PARECER Nº JL - 01, não sendo necessária a formalização por meio de Termo Aditivo.</w:t>
      </w:r>
      <w:r>
        <w:rPr>
          <w:i/>
          <w:iCs/>
          <w:color w:val="000000"/>
        </w:rPr>
        <w:t>.</w:t>
      </w:r>
    </w:p>
  </w:comment>
  <w:comment w:id="26" w:author="Autor" w:initials="A">
    <w:p w14:paraId="5D45C6CA" w14:textId="250CDAFE" w:rsidR="00112FEA" w:rsidRDefault="00112FEA">
      <w:pPr>
        <w:pStyle w:val="Textodecomentrio"/>
        <w:rPr>
          <w:rFonts w:hint="eastAsia"/>
        </w:rPr>
      </w:pPr>
      <w:r>
        <w:rPr>
          <w:rStyle w:val="Refdecomentrio"/>
        </w:rPr>
        <w:annotationRef/>
      </w:r>
      <w:r>
        <w:rPr>
          <w:b/>
          <w:bCs/>
          <w:i/>
          <w:iCs/>
          <w:color w:val="000000"/>
        </w:rPr>
        <w:t>Nota Explicativa:</w:t>
      </w:r>
      <w:r>
        <w:rPr>
          <w:i/>
          <w:iCs/>
          <w:color w:val="000000"/>
        </w:rPr>
        <w:t xml:space="preserve"> É fundamental que a Administração observe que exigências demasiadas poderão prejudicar a competitividade da licitação e ofender a o disposto no </w:t>
      </w:r>
      <w:hyperlink r:id="rId28" w:history="1">
        <w:r w:rsidRPr="002C2364">
          <w:rPr>
            <w:rStyle w:val="Hyperlink"/>
            <w:i/>
            <w:iCs/>
          </w:rPr>
          <w:t>art. 37, inciso XXI da Constituição Federal</w:t>
        </w:r>
      </w:hyperlink>
      <w:r>
        <w:rPr>
          <w:i/>
          <w:iCs/>
          <w:color w:val="000000"/>
        </w:rPr>
        <w:t>, o qual preceitua que “o processo de licitação pública... somente permitirá as exigências de qualificação técnica e econômica indispensáveis à garantia do cumprimento das obrigações”.</w:t>
      </w:r>
    </w:p>
    <w:p w14:paraId="58E82CFD" w14:textId="77777777" w:rsidR="00112FEA" w:rsidRDefault="00112FEA">
      <w:pPr>
        <w:pStyle w:val="Textodecomentrio"/>
        <w:rPr>
          <w:rFonts w:hint="eastAsia"/>
        </w:rPr>
      </w:pPr>
      <w:r>
        <w:rPr>
          <w:i/>
          <w:iCs/>
          <w:color w:val="000000"/>
        </w:rPr>
        <w:t>O</w:t>
      </w:r>
      <w:hyperlink r:id="rId29" w:history="1">
        <w:r w:rsidRPr="002C2364">
          <w:rPr>
            <w:rStyle w:val="Hyperlink"/>
            <w:i/>
            <w:iCs/>
          </w:rPr>
          <w:t xml:space="preserve"> art. 70, III, da Lei Nº 14.133/2021</w:t>
        </w:r>
      </w:hyperlink>
      <w:r>
        <w:rPr>
          <w:i/>
          <w:iCs/>
          <w:color w:val="000000"/>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14:paraId="5E12DE8B" w14:textId="77777777" w:rsidR="00112FEA" w:rsidRDefault="00112FEA">
      <w:pPr>
        <w:pStyle w:val="Textodecomentrio"/>
        <w:rPr>
          <w:rFonts w:hint="eastAsia"/>
        </w:rPr>
      </w:pPr>
      <w:r>
        <w:rPr>
          <w:i/>
          <w:iCs/>
          <w:color w:val="000000"/>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14:paraId="14F06546" w14:textId="77777777" w:rsidR="00112FEA" w:rsidRDefault="00112FEA">
      <w:pPr>
        <w:pStyle w:val="Textodecomentrio"/>
        <w:rPr>
          <w:rFonts w:hint="eastAsia"/>
        </w:rPr>
      </w:pPr>
      <w:r>
        <w:rPr>
          <w:i/>
          <w:iCs/>
          <w:color w:val="000000"/>
        </w:rPr>
        <w:t>Em licitação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14:paraId="25E59438" w14:textId="77777777" w:rsidR="00112FEA" w:rsidRDefault="00112FEA" w:rsidP="00AB6588">
      <w:pPr>
        <w:pStyle w:val="Textodecomentrio"/>
        <w:rPr>
          <w:rFonts w:hint="eastAsia"/>
        </w:rPr>
      </w:pPr>
      <w:r>
        <w:rPr>
          <w:i/>
          <w:iCs/>
          <w:color w:val="000000"/>
        </w:rPr>
        <w:t>É vedada a inclusão de requisitos que não tenham suporte nos arts. 66 a 69 da Lei nº 14.133, de 2021.</w:t>
      </w:r>
    </w:p>
  </w:comment>
  <w:comment w:id="28" w:author="Autor" w:initials="A">
    <w:p w14:paraId="2B2CF766" w14:textId="77777777" w:rsidR="00112FEA" w:rsidRDefault="00112FEA">
      <w:pPr>
        <w:pStyle w:val="Textodecomentrio"/>
        <w:rPr>
          <w:rFonts w:hint="eastAsia"/>
        </w:rPr>
      </w:pPr>
      <w:r>
        <w:rPr>
          <w:rStyle w:val="Refdecomentrio"/>
        </w:rPr>
        <w:annotationRef/>
      </w:r>
      <w:r>
        <w:rPr>
          <w:b/>
          <w:bCs/>
          <w:i/>
          <w:iCs/>
          <w:color w:val="000000"/>
        </w:rPr>
        <w:t>Nota Explicativa:</w:t>
      </w:r>
      <w:r>
        <w:rPr>
          <w:i/>
          <w:iCs/>
          <w:color w:val="000000"/>
        </w:rPr>
        <w:t xml:space="preserve"> A Instrução Normativa </w:t>
      </w:r>
      <w:hyperlink r:id="rId30" w:history="1">
        <w:r w:rsidRPr="00331C9D">
          <w:rPr>
            <w:rStyle w:val="Hyperlink"/>
            <w:i/>
            <w:iCs/>
          </w:rPr>
          <w:t>SEGES/ME nº 116, de 21 de dezembro de 2021</w:t>
        </w:r>
      </w:hyperlink>
      <w:r>
        <w:rPr>
          <w:i/>
          <w:iCs/>
          <w:color w:val="000000"/>
        </w:rPr>
        <w:t xml:space="preserve">, estabelece procedimentos para a participação de pessoa física nas contratações públicas regidas pela </w:t>
      </w:r>
      <w:hyperlink r:id="rId31" w:history="1">
        <w:r w:rsidRPr="00331C9D">
          <w:rPr>
            <w:rStyle w:val="Hyperlink"/>
            <w:i/>
            <w:iCs/>
          </w:rPr>
          <w:t>Lei nº 14.133, de 2021</w:t>
        </w:r>
      </w:hyperlink>
      <w:r>
        <w:rPr>
          <w:i/>
          <w:iCs/>
          <w:color w:val="000000"/>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14:paraId="771BCB9C" w14:textId="77777777" w:rsidR="00112FEA" w:rsidRDefault="00112FEA">
      <w:pPr>
        <w:pStyle w:val="Textodecomentrio"/>
        <w:rPr>
          <w:rFonts w:hint="eastAsia"/>
        </w:rPr>
      </w:pPr>
      <w:r>
        <w:rPr>
          <w:i/>
          <w:iCs/>
          <w:color w:val="000000"/>
        </w:rPr>
        <w:t xml:space="preserve">A </w:t>
      </w:r>
      <w:hyperlink r:id="rId32" w:history="1">
        <w:r w:rsidRPr="00331C9D">
          <w:rPr>
            <w:rStyle w:val="Hyperlink"/>
            <w:i/>
            <w:iCs/>
          </w:rPr>
          <w:t>IN SEGES/ME nº 116, de 2021</w:t>
        </w:r>
      </w:hyperlink>
      <w:r>
        <w:rPr>
          <w:i/>
          <w:iCs/>
          <w:color w:val="000000"/>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b/>
          <w:bCs/>
          <w:i/>
          <w:iCs/>
          <w:color w:val="000000"/>
        </w:rPr>
        <w:t>capital social mínimo</w:t>
      </w:r>
      <w:r>
        <w:rPr>
          <w:i/>
          <w:iCs/>
          <w:color w:val="000000"/>
        </w:rPr>
        <w:t xml:space="preserve"> e </w:t>
      </w:r>
      <w:r>
        <w:rPr>
          <w:b/>
          <w:bCs/>
          <w:i/>
          <w:iCs/>
          <w:color w:val="000000"/>
        </w:rPr>
        <w:t>estrutura mínima</w:t>
      </w:r>
      <w:r>
        <w:rPr>
          <w:i/>
          <w:iCs/>
          <w:color w:val="000000"/>
        </w:rPr>
        <w:t xml:space="preserve">, com equipamentos, instalações e equipe de profissionais ou corpo técnico para a execução do objeto </w:t>
      </w:r>
      <w:r>
        <w:rPr>
          <w:b/>
          <w:bCs/>
          <w:i/>
          <w:iCs/>
          <w:color w:val="000000"/>
        </w:rPr>
        <w:t>incompatíveis com a natureza profissional da pessoa física</w:t>
      </w:r>
      <w:r>
        <w:rPr>
          <w:i/>
          <w:iCs/>
          <w:color w:val="000000"/>
        </w:rPr>
        <w:t xml:space="preserve">, conforme </w:t>
      </w:r>
      <w:r>
        <w:rPr>
          <w:b/>
          <w:bCs/>
          <w:i/>
          <w:iCs/>
          <w:color w:val="000000"/>
        </w:rPr>
        <w:t>demonstrado em estudo técnico preliminar</w:t>
      </w:r>
      <w:r>
        <w:rPr>
          <w:i/>
          <w:iCs/>
          <w:color w:val="000000"/>
        </w:rPr>
        <w:t xml:space="preserve">”. Portanto, a possibilidade, ou não, de contratação de pessoas físicas deverá ser objeto de prévia análise e manifestação técnica por parte do órgão contratante, na fase de planejamento da contratação. </w:t>
      </w:r>
    </w:p>
    <w:p w14:paraId="78DD8023" w14:textId="77777777" w:rsidR="00112FEA" w:rsidRDefault="00112FEA" w:rsidP="00AB6588">
      <w:pPr>
        <w:pStyle w:val="Textodecomentrio"/>
        <w:rPr>
          <w:rFonts w:hint="eastAsia"/>
        </w:rPr>
      </w:pPr>
      <w:r>
        <w:rPr>
          <w:i/>
          <w:iCs/>
          <w:color w:val="000000"/>
        </w:rPr>
        <w:t xml:space="preserve">O </w:t>
      </w:r>
      <w:hyperlink r:id="rId33" w:history="1">
        <w:r w:rsidRPr="00331C9D">
          <w:rPr>
            <w:rStyle w:val="Hyperlink"/>
            <w:i/>
            <w:iCs/>
          </w:rPr>
          <w:t>Decreto n.º 10.977, de 23 de fevereiro de 2022,</w:t>
        </w:r>
      </w:hyperlink>
      <w:r>
        <w:rPr>
          <w:i/>
          <w:iCs/>
          <w:color w:val="000000"/>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b/>
          <w:bCs/>
          <w:i/>
          <w:iCs/>
          <w:color w:val="000000"/>
        </w:rPr>
        <w:t>caput </w:t>
      </w:r>
      <w:r>
        <w:rPr>
          <w:i/>
          <w:iCs/>
          <w:color w:val="000000"/>
        </w:rPr>
        <w:t>do seu art. 11.</w:t>
      </w:r>
    </w:p>
  </w:comment>
  <w:comment w:id="29" w:author="Autor" w:initials="A">
    <w:p w14:paraId="2C162AD2" w14:textId="77777777" w:rsidR="00112FEA" w:rsidRDefault="00112FEA">
      <w:pPr>
        <w:pStyle w:val="Textodecomentrio"/>
        <w:rPr>
          <w:rFonts w:hint="eastAsia"/>
        </w:rPr>
      </w:pPr>
      <w:r>
        <w:rPr>
          <w:rStyle w:val="Refdecomentrio"/>
        </w:rPr>
        <w:annotationRef/>
      </w:r>
      <w:r>
        <w:rPr>
          <w:b/>
          <w:bCs/>
          <w:i/>
          <w:iCs/>
          <w:color w:val="000000"/>
        </w:rPr>
        <w:t>Nota Explicativa</w:t>
      </w:r>
      <w:r>
        <w:rPr>
          <w:i/>
          <w:iCs/>
          <w:color w:val="000000"/>
        </w:rPr>
        <w:t xml:space="preserve">: O </w:t>
      </w:r>
      <w:hyperlink r:id="rId34" w:history="1">
        <w:r w:rsidRPr="008C1317">
          <w:rPr>
            <w:rStyle w:val="Hyperlink"/>
            <w:i/>
            <w:iCs/>
          </w:rPr>
          <w:t>art. 41 da Lei nº 14.195, de 26 de agosto de 2021</w:t>
        </w:r>
      </w:hyperlink>
      <w:r>
        <w:rPr>
          <w:i/>
          <w:iCs/>
          <w:color w:val="000000"/>
        </w:rPr>
        <w:t>, transformou todas as empresas individuais de responsabilidade limitada (EIRELI) existentes na data da entrada em vigor da Lei em sociedades limitadas unipessoais (SLU), independentemente de qualquer alteração em seus respectivos atos constitutivos.</w:t>
      </w:r>
    </w:p>
    <w:p w14:paraId="6975769B" w14:textId="77777777" w:rsidR="00112FEA" w:rsidRDefault="00112FEA">
      <w:pPr>
        <w:pStyle w:val="Textodecomentrio"/>
        <w:rPr>
          <w:rFonts w:hint="eastAsia"/>
        </w:rPr>
      </w:pPr>
      <w:r>
        <w:rPr>
          <w:i/>
          <w:iCs/>
          <w:color w:val="000000"/>
        </w:rPr>
        <w:t xml:space="preserve">Posteriormente, </w:t>
      </w:r>
      <w:hyperlink r:id="rId35" w:history="1">
        <w:r w:rsidRPr="008C1317">
          <w:rPr>
            <w:rStyle w:val="Hyperlink"/>
            <w:i/>
            <w:iCs/>
          </w:rPr>
          <w:t>o inciso VI, alíneas “a” e “b”, art. 20, da Lei nº 14.382, de 27 de junho de 2022</w:t>
        </w:r>
      </w:hyperlink>
      <w:r>
        <w:rPr>
          <w:i/>
          <w:iCs/>
          <w:color w:val="000000"/>
        </w:rPr>
        <w:t>, revogou as disposições sobre EIRELI constantes do inciso VI do caput do art. 44 e do Título I-A do Livro II da Parte Especial do Código Civil (</w:t>
      </w:r>
      <w:hyperlink r:id="rId36" w:history="1">
        <w:r w:rsidRPr="008C1317">
          <w:rPr>
            <w:rStyle w:val="Hyperlink"/>
            <w:i/>
            <w:iCs/>
          </w:rPr>
          <w:t>Lei nº 10.406, de 10 de janeiro de 2002</w:t>
        </w:r>
      </w:hyperlink>
      <w:r>
        <w:rPr>
          <w:i/>
          <w:iCs/>
          <w:color w:val="000000"/>
        </w:rPr>
        <w:t>).</w:t>
      </w:r>
    </w:p>
    <w:p w14:paraId="3D76960C" w14:textId="77777777" w:rsidR="00112FEA" w:rsidRDefault="00112FEA" w:rsidP="00AB6588">
      <w:pPr>
        <w:pStyle w:val="Textodecomentrio"/>
        <w:rPr>
          <w:rFonts w:hint="eastAsia"/>
        </w:rPr>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31" w:author="Autor" w:initials="A">
    <w:p w14:paraId="79BAD22B" w14:textId="77777777" w:rsidR="00112FEA" w:rsidRDefault="00112FEA" w:rsidP="00AB6588">
      <w:pPr>
        <w:pStyle w:val="Textodecomentrio"/>
        <w:rPr>
          <w:rFonts w:hint="eastAsia"/>
        </w:rPr>
      </w:pPr>
      <w:r>
        <w:rPr>
          <w:rStyle w:val="Refdecomentrio"/>
        </w:rPr>
        <w:annotationRef/>
      </w:r>
      <w:r>
        <w:rPr>
          <w:b/>
          <w:bCs/>
          <w:i/>
          <w:iCs/>
          <w:color w:val="000000"/>
        </w:rPr>
        <w:t>Nota Explicativa:</w:t>
      </w:r>
      <w:r>
        <w:rPr>
          <w:i/>
          <w:iCs/>
          <w:color w:val="000000"/>
        </w:rPr>
        <w:t xml:space="preserve"> O artigo 193 do Código Tributário Nacional (</w:t>
      </w:r>
      <w:hyperlink r:id="rId37" w:history="1">
        <w:r w:rsidRPr="003A3836">
          <w:rPr>
            <w:rStyle w:val="Hyperlink"/>
            <w:i/>
            <w:iCs/>
          </w:rPr>
          <w:t>Lei nº 5.172, de 25 de outubro de 1966</w:t>
        </w:r>
      </w:hyperlink>
      <w:r>
        <w:rPr>
          <w:i/>
          <w:iCs/>
          <w:color w:val="000000"/>
        </w:rPr>
        <w:t xml:space="preserve">) preceitua que a prova da quitação de todos os tributos devidos dar-se-á no âmbito da Fazenda Pública interessada, “relativos à atividade em cujo exercício contrata ou concorre”. Nessa mesma linha, </w:t>
      </w:r>
      <w:hyperlink r:id="rId38" w:history="1">
        <w:r w:rsidRPr="003A3836">
          <w:rPr>
            <w:rStyle w:val="Hyperlink"/>
            <w:i/>
            <w:iCs/>
          </w:rPr>
          <w:t>o art. 68, inciso II, da Lei n.º 14.133, de 2021</w:t>
        </w:r>
      </w:hyperlink>
      <w:r>
        <w:rPr>
          <w:i/>
          <w:iCs/>
          <w:color w:val="000000"/>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32" w:author="Autor" w:initials="A">
    <w:p w14:paraId="38B0A5E8" w14:textId="77777777" w:rsidR="00112FEA" w:rsidRDefault="00112FEA" w:rsidP="00AB6588">
      <w:pPr>
        <w:pStyle w:val="Textodecomentrio"/>
        <w:rPr>
          <w:rFonts w:hint="eastAsia"/>
        </w:rPr>
      </w:pPr>
      <w:r>
        <w:rPr>
          <w:rStyle w:val="Refdecomentrio"/>
        </w:rPr>
        <w:annotationRef/>
      </w:r>
      <w:r>
        <w:rPr>
          <w:b/>
          <w:bCs/>
          <w:i/>
          <w:iCs/>
          <w:color w:val="000000"/>
        </w:rPr>
        <w:t>Nota Explicativa:</w:t>
      </w:r>
      <w:r>
        <w:rPr>
          <w:i/>
          <w:iCs/>
          <w:color w:val="000000"/>
        </w:rPr>
        <w:t xml:space="preserve"> A apresentação do Certificado de Condição de Microempreendedor Individual – CCMEI supre as exigências de inscrição nos cadastros fiscais, na medida em que essas informações constam no próprio Certificado.</w:t>
      </w:r>
    </w:p>
  </w:comment>
  <w:comment w:id="33" w:author="Autor" w:initials="A">
    <w:p w14:paraId="7B20105C" w14:textId="77777777" w:rsidR="00112FEA" w:rsidRDefault="00112FEA">
      <w:pPr>
        <w:pStyle w:val="Textodecomentrio"/>
        <w:rPr>
          <w:rFonts w:hint="eastAsia"/>
        </w:rPr>
      </w:pPr>
      <w:r>
        <w:rPr>
          <w:rStyle w:val="Refdecomentrio"/>
        </w:rPr>
        <w:annotationRef/>
      </w:r>
      <w:r>
        <w:rPr>
          <w:b/>
          <w:bCs/>
          <w:i/>
          <w:iCs/>
          <w:color w:val="000000"/>
        </w:rPr>
        <w:t>Nota Explicativa 1:</w:t>
      </w:r>
      <w:r>
        <w:rPr>
          <w:i/>
          <w:iCs/>
          <w:color w:val="000000"/>
        </w:rPr>
        <w:t xml:space="preserve">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edital. Conforme Nota Explicativa do início deste tópico, a exigência de qualificação técnica e econômica nas circunstâncias previstas no art. 70, III da </w:t>
      </w:r>
      <w:hyperlink r:id="rId39" w:history="1">
        <w:r w:rsidRPr="00082396">
          <w:rPr>
            <w:rStyle w:val="Hyperlink"/>
            <w:i/>
            <w:iCs/>
          </w:rPr>
          <w:t>Lei n.º 14.133, de 2021</w:t>
        </w:r>
      </w:hyperlink>
      <w:r>
        <w:rPr>
          <w:i/>
          <w:iCs/>
          <w:color w:val="000000"/>
        </w:rPr>
        <w:t xml:space="preserve">, deve ser excepcional e justificada, à luz do </w:t>
      </w:r>
      <w:hyperlink r:id="rId40" w:history="1">
        <w:r w:rsidRPr="00082396">
          <w:rPr>
            <w:rStyle w:val="Hyperlink"/>
            <w:i/>
            <w:iCs/>
          </w:rPr>
          <w:t>art. 37, XXI, da Constituição Federal</w:t>
        </w:r>
      </w:hyperlink>
      <w:r>
        <w:rPr>
          <w:i/>
          <w:iCs/>
          <w:color w:val="000000"/>
        </w:rPr>
        <w:t>.</w:t>
      </w:r>
    </w:p>
    <w:p w14:paraId="51031AD9" w14:textId="77777777" w:rsidR="00112FEA" w:rsidRDefault="00112FEA" w:rsidP="00AB6588">
      <w:pPr>
        <w:pStyle w:val="Textodecomentrio"/>
        <w:rPr>
          <w:rFonts w:hint="eastAsia"/>
        </w:rPr>
      </w:pPr>
      <w:r>
        <w:rPr>
          <w:b/>
          <w:bCs/>
          <w:i/>
          <w:iCs/>
          <w:color w:val="000000"/>
        </w:rPr>
        <w:t>Nota Explicativa 2:</w:t>
      </w:r>
      <w:r>
        <w:rPr>
          <w:i/>
          <w:iCs/>
          <w:color w:val="000000"/>
        </w:rPr>
        <w:t xml:space="preserve"> É possível adotar critérios de habilitação econômico-financeira com requisitos diferenciados, estabelecidos conforme as peculiaridades do objeto a ser licitado, com justificativa do percentual adotado nos autos do procedimento licitatório.</w:t>
      </w:r>
    </w:p>
  </w:comment>
  <w:comment w:id="34" w:author="Autor" w:initials="A">
    <w:p w14:paraId="2F5C156D" w14:textId="156C3810" w:rsidR="4EB864CD" w:rsidRDefault="4EB864CD">
      <w:pPr>
        <w:pStyle w:val="Textodecomentrio"/>
        <w:rPr>
          <w:rFonts w:hint="eastAsia"/>
        </w:rPr>
      </w:pPr>
      <w:r>
        <w:t>Nota Explicativa: Conforme o §4º do art. 16 da Instrução Normativa SEGES/MP nº 3, de 2018</w:t>
      </w:r>
      <w:r>
        <w:rPr>
          <w:rStyle w:val="Refdecomentrio"/>
        </w:rPr>
        <w:annotationRef/>
      </w:r>
    </w:p>
  </w:comment>
  <w:comment w:id="35" w:author="Autor" w:initials="A">
    <w:p w14:paraId="293C38FF" w14:textId="77777777" w:rsidR="00112FEA" w:rsidRDefault="00112FEA">
      <w:pPr>
        <w:pStyle w:val="Textodecomentrio"/>
        <w:rPr>
          <w:rFonts w:hint="eastAsia"/>
        </w:rPr>
      </w:pPr>
      <w:r>
        <w:rPr>
          <w:rStyle w:val="Refdecomentrio"/>
        </w:rPr>
        <w:annotationRef/>
      </w:r>
      <w:r>
        <w:rPr>
          <w:b/>
          <w:bCs/>
          <w:i/>
          <w:iCs/>
          <w:color w:val="000000"/>
        </w:rPr>
        <w:t>Nota Explicativa 1:</w:t>
      </w:r>
      <w:r>
        <w:rPr>
          <w:i/>
          <w:iCs/>
          <w:color w:val="000000"/>
        </w:rPr>
        <w:t xml:space="preserve"> Não podem ser cumulativas as exigências de capital mínimo e de patrimônio líquido mínimo, razão pela qual a Administração deverá escolher motivadamente entre uma das duas opções.</w:t>
      </w:r>
    </w:p>
    <w:p w14:paraId="06635AC5" w14:textId="77777777" w:rsidR="00112FEA" w:rsidRDefault="00112FEA">
      <w:pPr>
        <w:pStyle w:val="Textodecomentrio"/>
        <w:rPr>
          <w:rFonts w:hint="eastAsia"/>
        </w:rPr>
      </w:pPr>
      <w:r>
        <w:rPr>
          <w:b/>
          <w:bCs/>
          <w:i/>
          <w:iCs/>
          <w:color w:val="000000"/>
        </w:rPr>
        <w:t>Nota Explicativa 2:</w:t>
      </w:r>
      <w:r>
        <w:rPr>
          <w:i/>
          <w:iCs/>
          <w:color w:val="000000"/>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14:paraId="5C5073B9" w14:textId="77777777" w:rsidR="00112FEA" w:rsidRDefault="00112FEA" w:rsidP="00AB6588">
      <w:pPr>
        <w:pStyle w:val="Textodecomentrio"/>
        <w:rPr>
          <w:rFonts w:hint="eastAsia"/>
        </w:rPr>
      </w:pPr>
      <w:r>
        <w:rPr>
          <w:i/>
          <w:iCs/>
          <w:color w:val="000000"/>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36" w:author="Autor" w:initials="A">
    <w:p w14:paraId="6AF8767A" w14:textId="77777777" w:rsidR="00112FEA" w:rsidRDefault="00112FEA" w:rsidP="00AB6588">
      <w:pPr>
        <w:pStyle w:val="Textodecomentrio"/>
        <w:rPr>
          <w:rFonts w:hint="eastAsia"/>
        </w:rPr>
      </w:pPr>
      <w:r>
        <w:rPr>
          <w:rStyle w:val="Refdecomentrio"/>
        </w:rPr>
        <w:annotationRef/>
      </w:r>
      <w:r>
        <w:rPr>
          <w:b/>
          <w:bCs/>
          <w:i/>
          <w:iCs/>
          <w:color w:val="000000"/>
        </w:rPr>
        <w:t>Nota Explicativa:</w:t>
      </w:r>
      <w:r>
        <w:rPr>
          <w:i/>
          <w:iCs/>
          <w:color w:val="000000"/>
        </w:rPr>
        <w:t xml:space="preserve"> A previsão do subitem 8.29 decorre do disposto no </w:t>
      </w:r>
      <w:hyperlink r:id="rId41" w:history="1">
        <w:r w:rsidRPr="00BB65C0">
          <w:rPr>
            <w:rStyle w:val="Hyperlink"/>
            <w:i/>
            <w:iCs/>
          </w:rPr>
          <w:t>art. 69, §1º da Lei nº 14.133, de 2021</w:t>
        </w:r>
      </w:hyperlink>
      <w:r>
        <w:rPr>
          <w:i/>
          <w:iCs/>
          <w:color w:val="000000"/>
        </w:rPr>
        <w:t>, podendo a Administração optar por tal disposição, desde que justificadamente.</w:t>
      </w:r>
    </w:p>
  </w:comment>
  <w:comment w:id="37" w:author="Autor" w:initials="A">
    <w:p w14:paraId="0FBA357B" w14:textId="77777777" w:rsidR="00112FEA" w:rsidRDefault="00112FEA">
      <w:pPr>
        <w:pStyle w:val="Textodecomentrio"/>
        <w:rPr>
          <w:rFonts w:hint="eastAsia"/>
        </w:rPr>
      </w:pPr>
      <w:r>
        <w:rPr>
          <w:rStyle w:val="Refdecomentrio"/>
        </w:rPr>
        <w:annotationRef/>
      </w:r>
      <w:r>
        <w:rPr>
          <w:b/>
          <w:bCs/>
          <w:i/>
          <w:iCs/>
          <w:color w:val="000000"/>
        </w:rPr>
        <w:t>Nota Explicativa 1</w:t>
      </w:r>
      <w:r>
        <w:rPr>
          <w:i/>
          <w:iCs/>
          <w:color w:val="000000"/>
        </w:rPr>
        <w:t xml:space="preserve">: O </w:t>
      </w:r>
      <w:hyperlink r:id="rId42" w:history="1">
        <w:r w:rsidRPr="00CC6BDB">
          <w:rPr>
            <w:rStyle w:val="Hyperlink"/>
            <w:i/>
            <w:iCs/>
          </w:rPr>
          <w:t>art. 67 da Lei nº 14.133, de 2021</w:t>
        </w:r>
      </w:hyperlink>
      <w:r>
        <w:rPr>
          <w:i/>
          <w:iCs/>
          <w:color w:val="000000"/>
        </w:rPr>
        <w:t xml:space="preserve">,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w:t>
      </w:r>
      <w:hyperlink r:id="rId43" w:history="1">
        <w:r w:rsidRPr="00CC6BDB">
          <w:rPr>
            <w:rStyle w:val="Hyperlink"/>
            <w:i/>
            <w:iCs/>
          </w:rPr>
          <w:t>artigo 37, inciso XXI, da Constituição Federal</w:t>
        </w:r>
      </w:hyperlink>
      <w:r>
        <w:rPr>
          <w:i/>
          <w:iCs/>
          <w:color w:val="000000"/>
        </w:rPr>
        <w:t xml:space="preserve">, caso verifique que a medida é indispensável à garantia do cumprimento das obrigações pertinentes à execução do objeto. </w:t>
      </w:r>
    </w:p>
    <w:p w14:paraId="75A278A9" w14:textId="77777777" w:rsidR="00112FEA" w:rsidRDefault="00112FEA">
      <w:pPr>
        <w:pStyle w:val="Textodecomentrio"/>
        <w:rPr>
          <w:rFonts w:hint="eastAsia"/>
        </w:rPr>
      </w:pPr>
      <w:r>
        <w:rPr>
          <w:i/>
          <w:iCs/>
          <w:color w:val="000000"/>
        </w:rPr>
        <w:t>Para tanto, recomenda-se que a Administração se utilize da interpretação extensiva das regras, limites e princípios que incidem em relação à prova de qualificação técnica dos licitantes na contratação de serviços, observadas as peculiaridades das compras em cada caso concreto.</w:t>
      </w:r>
    </w:p>
    <w:p w14:paraId="74FBE872" w14:textId="77777777" w:rsidR="00112FEA" w:rsidRDefault="00112FEA">
      <w:pPr>
        <w:pStyle w:val="Textodecomentrio"/>
        <w:rPr>
          <w:rFonts w:hint="eastAsia"/>
        </w:rPr>
      </w:pPr>
      <w:r>
        <w:rPr>
          <w:b/>
          <w:bCs/>
          <w:i/>
          <w:iCs/>
        </w:rPr>
        <w:t xml:space="preserve">Nota Explicativa 2: </w:t>
      </w:r>
      <w:r>
        <w:rPr>
          <w:i/>
          <w:iCs/>
          <w:color w:val="000000"/>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14:paraId="7F1163C2" w14:textId="77777777" w:rsidR="00112FEA" w:rsidRDefault="00112FEA">
      <w:pPr>
        <w:pStyle w:val="Textodecomentrio"/>
        <w:rPr>
          <w:rFonts w:hint="eastAsia"/>
        </w:rPr>
      </w:pPr>
      <w:r>
        <w:rPr>
          <w:b/>
          <w:bCs/>
          <w:i/>
          <w:iCs/>
          <w:color w:val="000000"/>
        </w:rPr>
        <w:t>Nota Explicativa 3</w:t>
      </w:r>
      <w:r>
        <w:rPr>
          <w:i/>
          <w:iCs/>
          <w:color w:val="000000"/>
        </w:rPr>
        <w:t>: Em relação pessoa física ou jurídica que se caracterize como “potencial subcontratado”, é possível a previsão de exigência de atestados específicos, situação na qual mais de um licitante poderá apresentar atestado relativo ao mesmo potencial subcontratado. Nesse sentido é o teor do § 9º do art. 67 da Lei nº 14.133, de 2021:</w:t>
      </w:r>
    </w:p>
    <w:p w14:paraId="31B1A53B" w14:textId="77777777" w:rsidR="00112FEA" w:rsidRDefault="00112FEA" w:rsidP="004D7440">
      <w:pPr>
        <w:pStyle w:val="Textodecomentrio"/>
        <w:rPr>
          <w:rFonts w:hint="eastAsia"/>
        </w:rPr>
      </w:pPr>
      <w:r>
        <w:rPr>
          <w:i/>
          <w:iCs/>
          <w:color w:val="000000"/>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38" w:author="Autor" w:initials="A">
    <w:p w14:paraId="0DC0CCFD" w14:textId="77777777" w:rsidR="00112FEA" w:rsidRDefault="00112FEA">
      <w:pPr>
        <w:pStyle w:val="Textodecomentrio"/>
        <w:rPr>
          <w:rFonts w:hint="eastAsia"/>
        </w:rPr>
      </w:pPr>
      <w:r>
        <w:rPr>
          <w:rStyle w:val="Refdecomentrio"/>
        </w:rPr>
        <w:annotationRef/>
      </w:r>
      <w:r>
        <w:rPr>
          <w:b/>
          <w:bCs/>
          <w:i/>
          <w:iCs/>
          <w:color w:val="000000"/>
        </w:rPr>
        <w:t>Nota Explicativa 1:</w:t>
      </w:r>
      <w:r>
        <w:rPr>
          <w:i/>
          <w:iCs/>
          <w:color w:val="000000"/>
        </w:rPr>
        <w:t xml:space="preserve"> A essência da capacidade operacional é procurar identificar se a futura contratada tem a infraestrutura empresarial e a capacidade de gestão de executar o objeto e, justamente por esse contexto, podem ser feitas exigências de comprovação de anterior execução de quantitativos mínimos (compatíveis com o objeto a ser contratado). Deste modo, é possível que essa comprovação se dê pela somatória de atestados de contratos executados realizados concomitantemente, pois da mesma forma revelam a capacidade operacional da empresa.</w:t>
      </w:r>
    </w:p>
    <w:p w14:paraId="3884C440" w14:textId="77777777" w:rsidR="00112FEA" w:rsidRDefault="00112FEA">
      <w:pPr>
        <w:pStyle w:val="Textodecomentrio"/>
        <w:rPr>
          <w:rFonts w:hint="eastAsia"/>
        </w:rPr>
      </w:pPr>
      <w:r>
        <w:rPr>
          <w:i/>
          <w:iCs/>
          <w:color w:val="000000"/>
        </w:rPr>
        <w:t xml:space="preserve">De qualquer forma, é absolutamente fundamental que a exigência seja totalmente objetiva, indicando quantitativos precisos, para evitar dúvidas na hora da habilitação, que podem vir a comprometer o objetivo do processo, de formalizar a contratação. </w:t>
      </w:r>
    </w:p>
    <w:p w14:paraId="5869A9E2" w14:textId="77777777" w:rsidR="00112FEA" w:rsidRDefault="00112FEA">
      <w:pPr>
        <w:pStyle w:val="Textodecomentrio"/>
        <w:rPr>
          <w:rFonts w:hint="eastAsia"/>
        </w:rPr>
      </w:pPr>
      <w:r>
        <w:rPr>
          <w:i/>
          <w:iCs/>
          <w:color w:val="000000"/>
        </w:rPr>
        <w:t xml:space="preserve">Conforme </w:t>
      </w:r>
      <w:hyperlink r:id="rId44" w:history="1">
        <w:r w:rsidRPr="00B84260">
          <w:rPr>
            <w:rStyle w:val="Hyperlink"/>
            <w:i/>
            <w:iCs/>
          </w:rPr>
          <w:t>§2º do art. 67 da Lei nº 14.133, de 2021</w:t>
        </w:r>
      </w:hyperlink>
      <w:r>
        <w:rPr>
          <w:i/>
          <w:iCs/>
          <w:color w:val="000000"/>
        </w:rPr>
        <w:t xml:space="preserve">, “será admitida a exigência de atestados com quantidades mínimas de até 50% (cinquenta por cento) das parcelas de que trata o referido parágrafo, vedadas limitações de tempo e de locais específicos relativas aos atestados”. Além disso, registre-se que só é possível a exigência de atestado quanto às parcelas de maior relevância, entendidas essas como as que possuem valor individual igual ou superior a 4% do valor total estimado da contratação (art. 67, §1º). </w:t>
      </w:r>
    </w:p>
    <w:p w14:paraId="68A72CC0" w14:textId="77777777" w:rsidR="00112FEA" w:rsidRDefault="00112FEA">
      <w:pPr>
        <w:pStyle w:val="Textodecomentrio"/>
        <w:rPr>
          <w:rFonts w:hint="eastAsia"/>
        </w:rPr>
      </w:pPr>
      <w:r>
        <w:rPr>
          <w:b/>
          <w:bCs/>
          <w:i/>
          <w:iCs/>
          <w:color w:val="000000"/>
        </w:rPr>
        <w:t xml:space="preserve">Nota Explicativa 2: </w:t>
      </w:r>
      <w:r>
        <w:rPr>
          <w:i/>
          <w:iCs/>
          <w:color w:val="000000"/>
        </w:rPr>
        <w:t xml:space="preserve">Os requisitos de qualificação técnica são aplicáveis a todos os licitantes, inclusive pessoas físicas, conforme inciso I do </w:t>
      </w:r>
      <w:hyperlink r:id="rId45" w:history="1">
        <w:r w:rsidRPr="00B84260">
          <w:rPr>
            <w:rStyle w:val="Hyperlink"/>
            <w:i/>
            <w:iCs/>
          </w:rPr>
          <w:t>art. 5º da Instrução Normativa Seges/ME nº 116, de 2021</w:t>
        </w:r>
      </w:hyperlink>
      <w:r>
        <w:rPr>
          <w:i/>
          <w:iCs/>
          <w:color w:val="000000"/>
        </w:rPr>
        <w:t>.</w:t>
      </w:r>
    </w:p>
    <w:p w14:paraId="706C9FEF" w14:textId="77777777" w:rsidR="00112FEA" w:rsidRDefault="00112FEA">
      <w:pPr>
        <w:pStyle w:val="Textodecomentrio"/>
        <w:rPr>
          <w:rFonts w:hint="eastAsia"/>
        </w:rPr>
      </w:pPr>
      <w:r>
        <w:rPr>
          <w:b/>
          <w:bCs/>
          <w:i/>
          <w:iCs/>
          <w:color w:val="000000"/>
        </w:rPr>
        <w:t xml:space="preserve">Nota Explicativa 3: </w:t>
      </w:r>
      <w:r>
        <w:rPr>
          <w:i/>
          <w:iCs/>
          <w:color w:val="000000"/>
        </w:rPr>
        <w:t xml:space="preserve">Caso seja permitida a subcontratação de fornecimento com aspectos técnicos específicos, poderá ser admitida a apresentação de atestados relativos a potencial subcontratado, limitado a 25% do objeto licitado, conforme </w:t>
      </w:r>
      <w:hyperlink r:id="rId46" w:history="1">
        <w:r w:rsidRPr="00B84260">
          <w:rPr>
            <w:rStyle w:val="Hyperlink"/>
            <w:i/>
            <w:iCs/>
          </w:rPr>
          <w:t>art. 67, §9º da Lei nº 14.133, de 2021.</w:t>
        </w:r>
      </w:hyperlink>
    </w:p>
    <w:p w14:paraId="12407A08" w14:textId="77777777" w:rsidR="00112FEA" w:rsidRDefault="00112FEA">
      <w:pPr>
        <w:pStyle w:val="Textodecomentrio"/>
        <w:rPr>
          <w:rFonts w:hint="eastAsia"/>
        </w:rPr>
      </w:pPr>
      <w:r>
        <w:rPr>
          <w:b/>
          <w:bCs/>
          <w:i/>
          <w:iCs/>
          <w:color w:val="000000"/>
        </w:rPr>
        <w:t xml:space="preserve">Em sendo esse o caso do processo, recomenda-se inserir a seguinte disposição: </w:t>
      </w:r>
    </w:p>
    <w:p w14:paraId="2786075A" w14:textId="77777777" w:rsidR="00112FEA" w:rsidRDefault="00112FEA" w:rsidP="00AB6588">
      <w:pPr>
        <w:pStyle w:val="Textodecomentrio"/>
        <w:rPr>
          <w:rFonts w:hint="eastAsia"/>
        </w:rPr>
      </w:pPr>
      <w:r>
        <w:rPr>
          <w:b/>
          <w:bCs/>
          <w:i/>
          <w:iCs/>
          <w:color w:val="000000"/>
        </w:rPr>
        <w:t>8.31.x: Será admitida a apresentação de atestados relativos a potencial subcontratado em relação à parcela do fornecimento de.... ..., cuja subcontratação foi expressamente autorizada no tópico pertinente.</w:t>
      </w:r>
    </w:p>
  </w:comment>
  <w:comment w:id="39" w:author="Autor" w:initials="A">
    <w:p w14:paraId="55A09423" w14:textId="77777777" w:rsidR="00112FEA" w:rsidRDefault="00112FEA" w:rsidP="00AB6588">
      <w:pPr>
        <w:pStyle w:val="Textodecomentrio"/>
        <w:rPr>
          <w:rFonts w:hint="eastAsia"/>
        </w:rPr>
      </w:pPr>
      <w:r>
        <w:rPr>
          <w:rStyle w:val="Refdecomentrio"/>
        </w:rPr>
        <w:annotationRef/>
      </w:r>
      <w:r>
        <w:rPr>
          <w:b/>
          <w:bCs/>
          <w:i/>
          <w:iCs/>
          <w:color w:val="000000"/>
        </w:rPr>
        <w:t>Nota Explicativa:</w:t>
      </w:r>
      <w:r>
        <w:rPr>
          <w:i/>
          <w:iCs/>
          <w:color w:val="000000"/>
        </w:rPr>
        <w:t xml:space="preserve"> Nesse sentido, o </w:t>
      </w:r>
      <w:hyperlink r:id="rId47" w:history="1">
        <w:r w:rsidRPr="004908F6">
          <w:rPr>
            <w:rStyle w:val="Hyperlink"/>
            <w:i/>
            <w:iCs/>
          </w:rPr>
          <w:t>Parecer n. 00005/2021/CNMLC/CGU/AGU</w:t>
        </w:r>
      </w:hyperlink>
      <w:r>
        <w:rPr>
          <w:i/>
          <w:iCs/>
          <w:color w:val="000000"/>
        </w:rPr>
        <w:t xml:space="preserve"> fixou que “se a filial pode até mesmo executar uma contratação formalizada com a matriz, não restam motivos para entender que os atestados de capacitação técnica emitidos em favor de uma não possam ser aproveitados pela outra, haja vista serem ambas rigorosamente a mesma empresa.” Vale observar que referido entendimento se inspirou na </w:t>
      </w:r>
      <w:hyperlink r:id="rId48" w:history="1">
        <w:r w:rsidRPr="004908F6">
          <w:rPr>
            <w:rStyle w:val="Hyperlink"/>
            <w:i/>
            <w:iCs/>
          </w:rPr>
          <w:t>ORIENTAÇÃO NORMATIVA Nº 66, DE 29 DE MAIO DE 2020.</w:t>
        </w:r>
      </w:hyperlink>
    </w:p>
  </w:comment>
  <w:comment w:id="40" w:author="Autor" w:initials="A">
    <w:p w14:paraId="63859570" w14:textId="77777777" w:rsidR="00112FEA" w:rsidRDefault="00112FEA">
      <w:pPr>
        <w:pStyle w:val="Textodecomentrio"/>
        <w:rPr>
          <w:rFonts w:hint="eastAsia"/>
        </w:rPr>
      </w:pPr>
      <w:r>
        <w:rPr>
          <w:rStyle w:val="Refdecomentrio"/>
        </w:rPr>
        <w:annotationRef/>
      </w:r>
      <w:r>
        <w:rPr>
          <w:b/>
          <w:bCs/>
          <w:i/>
          <w:iCs/>
          <w:color w:val="000000"/>
        </w:rPr>
        <w:t xml:space="preserve">Nota Explicativa 1: </w:t>
      </w:r>
      <w:r>
        <w:rPr>
          <w:i/>
          <w:iCs/>
          <w:color w:val="000000"/>
        </w:rPr>
        <w:t xml:space="preserve">Pesquisa de Preços - A estimativa de preços deve ser precedida de regular pesquisa, nos moldes do </w:t>
      </w:r>
      <w:hyperlink r:id="rId49" w:history="1">
        <w:r w:rsidRPr="008F1673">
          <w:rPr>
            <w:rStyle w:val="Hyperlink"/>
            <w:i/>
            <w:iCs/>
          </w:rPr>
          <w:t>art. 23 da Lei nº 14.133, de 2021</w:t>
        </w:r>
      </w:hyperlink>
      <w:r>
        <w:rPr>
          <w:i/>
          <w:iCs/>
          <w:color w:val="000000"/>
        </w:rPr>
        <w:t xml:space="preserve">, e da </w:t>
      </w:r>
      <w:hyperlink r:id="rId50" w:history="1">
        <w:r w:rsidRPr="008F1673">
          <w:rPr>
            <w:rStyle w:val="Hyperlink"/>
            <w:i/>
            <w:iCs/>
          </w:rPr>
          <w:t>Instrução Normativa SEGES/ME nº 65, de 7 de julho 2021.</w:t>
        </w:r>
      </w:hyperlink>
    </w:p>
    <w:p w14:paraId="16C2D2F7" w14:textId="77777777" w:rsidR="00112FEA" w:rsidRDefault="00112FEA">
      <w:pPr>
        <w:pStyle w:val="Textodecomentrio"/>
        <w:rPr>
          <w:rFonts w:hint="eastAsia"/>
        </w:rPr>
      </w:pPr>
      <w:r>
        <w:rPr>
          <w:b/>
          <w:bCs/>
          <w:i/>
          <w:iCs/>
        </w:rPr>
        <w:t>Nota Explicativa 2:</w:t>
      </w:r>
      <w:r>
        <w:rPr>
          <w:i/>
          <w:iCs/>
        </w:rPr>
        <w:t xml:space="preserve"> Os preços unitários referenciais, as memórias de cálculo e os documentos que lhe dão suporte, com os parâmetros utilizados para a obtenção dos preços e para os respectivos cálculos, devem constar de anexo ao termo de referência,</w:t>
      </w:r>
      <w:r>
        <w:rPr>
          <w:i/>
          <w:iCs/>
          <w:color w:val="FF0000"/>
        </w:rPr>
        <w:t xml:space="preserve"> </w:t>
      </w:r>
      <w:r>
        <w:rPr>
          <w:i/>
          <w:iCs/>
        </w:rPr>
        <w:t xml:space="preserve">nos termos do </w:t>
      </w:r>
      <w:hyperlink r:id="rId51" w:history="1">
        <w:r w:rsidRPr="008F1673">
          <w:rPr>
            <w:rStyle w:val="Hyperlink"/>
            <w:i/>
            <w:iCs/>
          </w:rPr>
          <w:t>art. 9º, IX, da Instrução Normativa Seges/ME nº 81, de 2022</w:t>
        </w:r>
      </w:hyperlink>
      <w:r>
        <w:rPr>
          <w:i/>
          <w:iCs/>
        </w:rPr>
        <w:t xml:space="preserve">. Caso a Administração opte por preservar o sigilo da estimativa do valor da contratação, também deverá ser preservado o sigilo desse anexo. </w:t>
      </w:r>
    </w:p>
    <w:p w14:paraId="03D42536" w14:textId="77777777" w:rsidR="00112FEA" w:rsidRDefault="00112FEA" w:rsidP="00AB6588">
      <w:pPr>
        <w:pStyle w:val="Textodecomentrio"/>
        <w:rPr>
          <w:rFonts w:hint="eastAsia"/>
        </w:rPr>
      </w:pPr>
      <w:r>
        <w:rPr>
          <w:b/>
          <w:bCs/>
          <w:i/>
          <w:iCs/>
        </w:rPr>
        <w:t xml:space="preserve">Nota Explicativa 3: </w:t>
      </w:r>
      <w:r>
        <w:rPr>
          <w:i/>
          <w:iCs/>
        </w:rPr>
        <w:t>Utilizar a redação do item 9.1 na hipótese de licitação em que for adotado o critério de julgamento por menor preço, sem caráter sigiloso.</w:t>
      </w:r>
    </w:p>
  </w:comment>
  <w:comment w:id="41" w:author="Autor" w:initials="A">
    <w:p w14:paraId="3D0F3504" w14:textId="77777777" w:rsidR="002F0A51" w:rsidRDefault="002F0A51" w:rsidP="002F0A51">
      <w:pPr>
        <w:pStyle w:val="Textodecomentrio"/>
        <w:rPr>
          <w:rFonts w:hint="eastAsia"/>
        </w:rPr>
      </w:pPr>
      <w:r>
        <w:rPr>
          <w:rStyle w:val="Refdecomentrio"/>
        </w:rPr>
        <w:annotationRef/>
      </w:r>
      <w:r>
        <w:rPr>
          <w:b/>
          <w:bCs/>
          <w:i/>
          <w:iCs/>
          <w:color w:val="000000"/>
        </w:rPr>
        <w:t xml:space="preserve">Nota Explicativa: </w:t>
      </w:r>
      <w:r>
        <w:rPr>
          <w:i/>
          <w:iCs/>
          <w:color w:val="000000"/>
        </w:rPr>
        <w:t xml:space="preserve">O art. 106, II da </w:t>
      </w:r>
      <w:hyperlink r:id="rId52" w:history="1">
        <w:r>
          <w:rPr>
            <w:rStyle w:val="Hyperlink"/>
            <w:i/>
            <w:iCs/>
          </w:rPr>
          <w:t>Lei nº 14.133, de 2021</w:t>
        </w:r>
      </w:hyperlink>
      <w:r>
        <w:rPr>
          <w:i/>
          <w:iCs/>
          <w:color w:val="000000"/>
        </w:rPr>
        <w:t>, prevê para contratações de serviços e fornecimento continuado que a “a Administração deverá atestar, no início da contratação e de cada exercício, a existência de créditos orçamentários vinculados à contratação e a vantagem em sua manutenção”. Quanto à rescisão contratual por ausência de crédito ou vantajosidade (art. 106, III), remete-se às regras específicas constantes do contrato, inclusive em relação à aplicação do art. 106, §1º.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38EFB4F" w15:done="0"/>
  <w15:commentEx w15:paraId="6F518A73" w15:done="0"/>
  <w15:commentEx w15:paraId="043DF909" w15:done="0"/>
  <w15:commentEx w15:paraId="47CAB683" w15:done="0"/>
  <w15:commentEx w15:paraId="127A4C39" w15:done="0"/>
  <w15:commentEx w15:paraId="760F5483" w15:done="0"/>
  <w15:commentEx w15:paraId="54330E4C" w15:done="0"/>
  <w15:commentEx w15:paraId="4C44CEAD" w15:done="0"/>
  <w15:commentEx w15:paraId="54FAF1F7" w15:done="0"/>
  <w15:commentEx w15:paraId="393F557F" w15:done="0"/>
  <w15:commentEx w15:paraId="555AE616" w15:done="0"/>
  <w15:commentEx w15:paraId="68F91D16" w15:done="0"/>
  <w15:commentEx w15:paraId="319158C7" w15:done="0"/>
  <w15:commentEx w15:paraId="05C09471" w15:done="0"/>
  <w15:commentEx w15:paraId="304C5436" w15:done="0"/>
  <w15:commentEx w15:paraId="54D2DD8B" w15:done="0"/>
  <w15:commentEx w15:paraId="39EA27C5" w15:done="0"/>
  <w15:commentEx w15:paraId="05D9AF48" w15:done="0"/>
  <w15:commentEx w15:paraId="02977081" w15:done="0"/>
  <w15:commentEx w15:paraId="1B0F3320" w15:done="0"/>
  <w15:commentEx w15:paraId="795C1825" w15:done="0"/>
  <w15:commentEx w15:paraId="08BC6D9C" w15:done="0"/>
  <w15:commentEx w15:paraId="5BB3F92A" w15:done="0"/>
  <w15:commentEx w15:paraId="25E59438" w15:done="0"/>
  <w15:commentEx w15:paraId="78DD8023" w15:done="0"/>
  <w15:commentEx w15:paraId="3D76960C"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2786075A" w15:done="0"/>
  <w15:commentEx w15:paraId="55A09423" w15:done="0"/>
  <w15:commentEx w15:paraId="03D42536" w15:done="0"/>
  <w15:commentEx w15:paraId="3D0F35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38EFB4F" w16cid:durableId="7280AC97"/>
  <w16cid:commentId w16cid:paraId="6F518A73" w16cid:durableId="274CA40B"/>
  <w16cid:commentId w16cid:paraId="043DF909" w16cid:durableId="37B2A2CA"/>
  <w16cid:commentId w16cid:paraId="47CAB683" w16cid:durableId="274B3C45"/>
  <w16cid:commentId w16cid:paraId="127A4C39" w16cid:durableId="274B3EB0"/>
  <w16cid:commentId w16cid:paraId="760F5483" w16cid:durableId="274B4116"/>
  <w16cid:commentId w16cid:paraId="54330E4C" w16cid:durableId="274B45FE"/>
  <w16cid:commentId w16cid:paraId="4C44CEAD" w16cid:durableId="274B4BA5"/>
  <w16cid:commentId w16cid:paraId="54FAF1F7" w16cid:durableId="274B4F45"/>
  <w16cid:commentId w16cid:paraId="393F557F" w16cid:durableId="2810CEA5"/>
  <w16cid:commentId w16cid:paraId="555AE616" w16cid:durableId="0641096A"/>
  <w16cid:commentId w16cid:paraId="68F91D16" w16cid:durableId="62BE0F90"/>
  <w16cid:commentId w16cid:paraId="319158C7" w16cid:durableId="03246A98"/>
  <w16cid:commentId w16cid:paraId="05C09471" w16cid:durableId="274B59F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1B0F3320" w16cid:durableId="274B6458"/>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2786075A" w16cid:durableId="274B6FCB"/>
  <w16cid:commentId w16cid:paraId="55A09423" w16cid:durableId="274B6FE7"/>
  <w16cid:commentId w16cid:paraId="03D42536" w16cid:durableId="274B7561"/>
  <w16cid:commentId w16cid:paraId="3D0F3504" w16cid:durableId="274B76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215CC" w14:textId="77777777" w:rsidR="009B1AC8" w:rsidRDefault="009B1AC8">
      <w:pPr>
        <w:rPr>
          <w:rFonts w:hint="eastAsia"/>
        </w:rPr>
      </w:pPr>
      <w:r>
        <w:separator/>
      </w:r>
    </w:p>
  </w:endnote>
  <w:endnote w:type="continuationSeparator" w:id="0">
    <w:p w14:paraId="7CB3FE7C" w14:textId="77777777" w:rsidR="009B1AC8" w:rsidRDefault="009B1AC8">
      <w:pPr>
        <w:rPr>
          <w:rFonts w:hint="eastAsia"/>
        </w:rPr>
      </w:pPr>
      <w:r>
        <w:continuationSeparator/>
      </w:r>
    </w:p>
  </w:endnote>
  <w:endnote w:type="continuationNotice" w:id="1">
    <w:p w14:paraId="7385F7FE" w14:textId="77777777" w:rsidR="009B1AC8" w:rsidRDefault="009B1AC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80"/>
    <w:family w:val="auto"/>
    <w:notTrueType/>
    <w:pitch w:val="variable"/>
    <w:sig w:usb0="00000001" w:usb1="08070000" w:usb2="00000010" w:usb3="00000000" w:csb0="0002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Rawline" w:hAnsi="Rawline"/>
      </w:rPr>
    </w:sdtEndPr>
    <w:sdtContent>
      <w:p w14:paraId="58DEC1BC" w14:textId="77777777" w:rsidR="00112FEA" w:rsidRPr="007B5385" w:rsidRDefault="00112FEA"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662B1975" w:rsidR="00112FEA" w:rsidRPr="001011CE" w:rsidRDefault="00000000" w:rsidP="00EF4A41">
        <w:pPr>
          <w:pStyle w:val="Rodap"/>
          <w:rPr>
            <w:rFonts w:ascii="Rawline" w:hAnsi="Rawline"/>
          </w:rPr>
        </w:pPr>
      </w:p>
    </w:sdtContent>
  </w:sdt>
  <w:p w14:paraId="7E6308F2" w14:textId="73E1414E" w:rsidR="00112FEA" w:rsidRPr="00842420" w:rsidRDefault="00112FEA"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7A5FB" w14:textId="77777777" w:rsidR="009B1AC8" w:rsidRDefault="009B1AC8">
      <w:pPr>
        <w:rPr>
          <w:rFonts w:hint="eastAsia"/>
        </w:rPr>
      </w:pPr>
      <w:r>
        <w:separator/>
      </w:r>
    </w:p>
  </w:footnote>
  <w:footnote w:type="continuationSeparator" w:id="0">
    <w:p w14:paraId="2663C95E" w14:textId="77777777" w:rsidR="009B1AC8" w:rsidRDefault="009B1AC8">
      <w:pPr>
        <w:rPr>
          <w:rFonts w:hint="eastAsia"/>
        </w:rPr>
      </w:pPr>
      <w:r>
        <w:continuationSeparator/>
      </w:r>
    </w:p>
  </w:footnote>
  <w:footnote w:type="continuationNotice" w:id="1">
    <w:p w14:paraId="372B4280" w14:textId="77777777" w:rsidR="009B1AC8" w:rsidRDefault="009B1AC8">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7A88D" w14:textId="7680EC5D" w:rsidR="00112FEA" w:rsidRPr="00805D3F" w:rsidRDefault="00112FEA"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14:paraId="1DED6A95" w14:textId="77777777" w:rsidR="00112FEA" w:rsidRDefault="00112FEA" w:rsidP="003C6DB1">
    <w:pPr>
      <w:pStyle w:val="Cabealho"/>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5C100D"/>
    <w:multiLevelType w:val="multilevel"/>
    <w:tmpl w:val="F316500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4"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0053600">
    <w:abstractNumId w:val="18"/>
  </w:num>
  <w:num w:numId="2" w16cid:durableId="2037651331">
    <w:abstractNumId w:val="1"/>
  </w:num>
  <w:num w:numId="3" w16cid:durableId="1567840912">
    <w:abstractNumId w:val="3"/>
  </w:num>
  <w:num w:numId="4" w16cid:durableId="1740904256">
    <w:abstractNumId w:val="6"/>
  </w:num>
  <w:num w:numId="5" w16cid:durableId="1757552862">
    <w:abstractNumId w:val="8"/>
  </w:num>
  <w:num w:numId="6" w16cid:durableId="1328749588">
    <w:abstractNumId w:val="2"/>
  </w:num>
  <w:num w:numId="7" w16cid:durableId="330182574">
    <w:abstractNumId w:val="0"/>
  </w:num>
  <w:num w:numId="8" w16cid:durableId="494497711">
    <w:abstractNumId w:val="17"/>
  </w:num>
  <w:num w:numId="9" w16cid:durableId="2027096941">
    <w:abstractNumId w:val="19"/>
  </w:num>
  <w:num w:numId="10" w16cid:durableId="95830224">
    <w:abstractNumId w:val="7"/>
  </w:num>
  <w:num w:numId="11" w16cid:durableId="344524833">
    <w:abstractNumId w:val="4"/>
  </w:num>
  <w:num w:numId="12" w16cid:durableId="1921056864">
    <w:abstractNumId w:val="11"/>
  </w:num>
  <w:num w:numId="13" w16cid:durableId="2027824144">
    <w:abstractNumId w:val="15"/>
  </w:num>
  <w:num w:numId="14" w16cid:durableId="1398168876">
    <w:abstractNumId w:val="2"/>
  </w:num>
  <w:num w:numId="15" w16cid:durableId="2013995016">
    <w:abstractNumId w:val="10"/>
  </w:num>
  <w:num w:numId="16" w16cid:durableId="360203911">
    <w:abstractNumId w:val="9"/>
  </w:num>
  <w:num w:numId="17" w16cid:durableId="2133087219">
    <w:abstractNumId w:val="13"/>
  </w:num>
  <w:num w:numId="18" w16cid:durableId="1040740089">
    <w:abstractNumId w:val="16"/>
  </w:num>
  <w:num w:numId="19" w16cid:durableId="474680746">
    <w:abstractNumId w:val="14"/>
  </w:num>
  <w:num w:numId="20" w16cid:durableId="777989835">
    <w:abstractNumId w:val="12"/>
  </w:num>
  <w:num w:numId="21" w16cid:durableId="618340435">
    <w:abstractNumId w:val="2"/>
    <w:lvlOverride w:ilvl="0">
      <w:startOverride w:val="2"/>
    </w:lvlOverride>
    <w:lvlOverride w:ilvl="1">
      <w:startOverride w:val="2"/>
    </w:lvlOverride>
  </w:num>
  <w:num w:numId="22" w16cid:durableId="197394732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4E4D"/>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6BB8"/>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F5"/>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33F"/>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DAE"/>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51"/>
    <w:rsid w:val="002F0A9A"/>
    <w:rsid w:val="002F0D0C"/>
    <w:rsid w:val="002F1C3D"/>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082"/>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256"/>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029"/>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A3"/>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63A"/>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B6C"/>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50B"/>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3033"/>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5E86"/>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00B"/>
    <w:rsid w:val="0095083A"/>
    <w:rsid w:val="00950D81"/>
    <w:rsid w:val="00951BD9"/>
    <w:rsid w:val="00952A05"/>
    <w:rsid w:val="00953831"/>
    <w:rsid w:val="00953F58"/>
    <w:rsid w:val="009543EB"/>
    <w:rsid w:val="00954978"/>
    <w:rsid w:val="00954B1B"/>
    <w:rsid w:val="00956832"/>
    <w:rsid w:val="00957B9C"/>
    <w:rsid w:val="00957C86"/>
    <w:rsid w:val="0096019A"/>
    <w:rsid w:val="009605C0"/>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C8"/>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A9"/>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8E2"/>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735"/>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7EA"/>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4D12"/>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32"/>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128"/>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79F"/>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0CD3"/>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06"/>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84242C"/>
    <w:pPr>
      <w:numPr>
        <w:ilvl w:val="1"/>
        <w:numId w:val="6"/>
      </w:numPr>
      <w:spacing w:before="120" w:after="120" w:line="276" w:lineRule="auto"/>
      <w:ind w:left="0" w:firstLine="0"/>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84242C"/>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D55C32"/>
    <w:rPr>
      <w:color w:val="auto"/>
      <w:lang w:eastAsia="en-US"/>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55C32"/>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D55C32"/>
    <w:rPr>
      <w:rFonts w:ascii="Arial" w:hAnsi="Arial" w:cs="Arial"/>
      <w:color w:val="000000"/>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55C32"/>
    <w:rPr>
      <w:rFonts w:ascii="Arial" w:hAnsi="Arial" w:cs="Arial"/>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character" w:customStyle="1" w:styleId="Nivel3Char1">
    <w:name w:val="Nivel 3 Char1"/>
    <w:basedOn w:val="Fontepargpadro"/>
    <w:rsid w:val="002F0A51"/>
    <w:rPr>
      <w:rFonts w:ascii="Arial" w:eastAsiaTheme="minorEastAsia" w:hAnsi="Arial" w:cs="Arial"/>
      <w:lang w:bidi="hi-IN"/>
    </w:rPr>
  </w:style>
  <w:style w:type="character" w:customStyle="1" w:styleId="TextodecomentrioChar1">
    <w:name w:val="Texto de comentário Char1"/>
    <w:basedOn w:val="Fontepargpadro"/>
    <w:uiPriority w:val="99"/>
    <w:qFormat/>
    <w:rsid w:val="002F0A51"/>
    <w:rPr>
      <w:rFonts w:ascii="Ecofont_Spranq_eco_Sans" w:hAnsi="Ecofont_Spranq_eco_Sans" w:cs="Tahom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6633206">
      <w:bodyDiv w:val="1"/>
      <w:marLeft w:val="0"/>
      <w:marRight w:val="0"/>
      <w:marTop w:val="0"/>
      <w:marBottom w:val="0"/>
      <w:divBdr>
        <w:top w:val="none" w:sz="0" w:space="0" w:color="auto"/>
        <w:left w:val="none" w:sz="0" w:space="0" w:color="auto"/>
        <w:bottom w:val="none" w:sz="0" w:space="0" w:color="auto"/>
        <w:right w:val="none" w:sz="0" w:space="0" w:color="auto"/>
      </w:divBdr>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246336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462092">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13" Type="http://schemas.openxmlformats.org/officeDocument/2006/relationships/hyperlink" Target="https://doacoes.gov.br/" TargetMode="External"/><Relationship Id="rId18" Type="http://schemas.openxmlformats.org/officeDocument/2006/relationships/hyperlink" Target="https://www.gov.br/compras/pt-br/acesso-a-informacao/legislacao/instrucoes-normativas/instrucao-normativa-seges-me-no-81-de-25-de-novembro-de-2022"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in.gov.br/en/web/dou/-/lei-n-14.195-de-26-de-agosto-de-2021-341049135"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sapiens.agu.gov.br/valida_publico?id=701283242" TargetMode="External"/><Relationship Id="rId50" Type="http://schemas.openxmlformats.org/officeDocument/2006/relationships/hyperlink" Target="https://www.gov.br/compras/pt-br/acesso-a-informacao/legislacao/instrucoes-normativas/instrucao-normativa-seges-me-no-65-de-7-de-julho-de-2021" TargetMode="External"/><Relationship Id="rId7" Type="http://schemas.openxmlformats.org/officeDocument/2006/relationships/hyperlink" Target="https://www.gov.br/compras/pt-br/acesso-a-informacao/legislacao/portarias/portaria-seges-me-no-8-678-de-19-de-julho-de-2021" TargetMode="External"/><Relationship Id="rId2" Type="http://schemas.openxmlformats.org/officeDocument/2006/relationships/hyperlink" Target="https://www.gov.br/pncp/pt-br/catalogo-eletronico-de-padronizacao" TargetMode="Externa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in.gov.br/en/web/dou/-/instrucao-normativa-seges-n-58-de-8-de-agosto-de-2022-421221597%23" TargetMode="External"/><Relationship Id="rId24" Type="http://schemas.openxmlformats.org/officeDocument/2006/relationships/hyperlink" Target="https://www.gov.br/compras/pt-br/acesso-a-informacao/legislacao/instrucoes-normativas/instrucao-normativa-seges-me-no-77-de-4-de-novembro-de-2022" TargetMode="External"/><Relationship Id="rId32" Type="http://schemas.openxmlformats.org/officeDocument/2006/relationships/hyperlink" Target="https://www.gov.br/compras/pt-br/acesso-a-informacao/legislacao/instrucoes-normativas/instrucao-normativa-seges-me-no-116-de-21-de-dezembro-de-2021" TargetMode="External"/><Relationship Id="rId37" Type="http://schemas.openxmlformats.org/officeDocument/2006/relationships/hyperlink" Target="https://www.planalto.gov.br/ccivil_03/leis/l5172compilado.htm" TargetMode="External"/><Relationship Id="rId40" Type="http://schemas.openxmlformats.org/officeDocument/2006/relationships/hyperlink" Target="https://www.planalto.gov.br/ccivil_03/constituicao/constituicao.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5" Type="http://schemas.openxmlformats.org/officeDocument/2006/relationships/hyperlink" Target="https://www.in.gov.br/en/web/dou/-/instrucao-normativa-seges-n-58-de-8-de-agosto-de-2022-421221597"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htm" TargetMode="External"/><Relationship Id="rId36" Type="http://schemas.openxmlformats.org/officeDocument/2006/relationships/hyperlink" Target="https://legislacao.presidencia.gov.br/atos/?tipo=LEI&amp;numero=10406&amp;ano=2002&amp;ato=ac5gXVE5ENNpWT07a" TargetMode="External"/><Relationship Id="rId49" Type="http://schemas.openxmlformats.org/officeDocument/2006/relationships/hyperlink" Target="http://www.planalto.gov.br/ccivil_03/_ato2019-2022/2021/lei/L14133.htm" TargetMode="External"/><Relationship Id="rId10" Type="http://schemas.openxmlformats.org/officeDocument/2006/relationships/hyperlink" Target="https://www.gov.br/agu/pt-br/composicao/cgu/cgu/guias/gncs_082022.pdf" TargetMode="External"/><Relationship Id="rId19" Type="http://schemas.openxmlformats.org/officeDocument/2006/relationships/hyperlink" Target="https://www.gov.br/compras/pt-br/acesso-a-informacao/legislacao/instrucoes-normativas/instrucao-normativa-seges-me-no-81-de-25-de-nov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4" Type="http://schemas.openxmlformats.org/officeDocument/2006/relationships/hyperlink" Target="https://www.in.gov.br/en/web/dou/-/instrucao-normativa-cgnor/me-n-81-de-25-de-novembro-de-2022-446388890" TargetMode="External"/><Relationship Id="rId9" Type="http://schemas.openxmlformats.org/officeDocument/2006/relationships/hyperlink" Target="https://www.gov.br/agu/pt-br/composicao/cgu/cgu/guias/gncs_082022.pdf"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7-de-4-de-novembro-de-2022" TargetMode="External"/><Relationship Id="rId27" Type="http://schemas.openxmlformats.org/officeDocument/2006/relationships/hyperlink" Target="https://www.gov.br/compras/pt-br/acesso-a-informacao/legislacao/instrucoes-normativas/instrucao-normativa-no-53-de-8-de-julho-de-2020" TargetMode="External"/><Relationship Id="rId30" Type="http://schemas.openxmlformats.org/officeDocument/2006/relationships/hyperlink" Target="https://www.gov.br/compras/pt-br/acesso-a-informacao/legislacao/instrucoes-normativas/instrucao-normativa-seges-me-no-116-de-21-de-dezembro-de-2021" TargetMode="External"/><Relationship Id="rId35" Type="http://schemas.openxmlformats.org/officeDocument/2006/relationships/hyperlink" Target="http://www.planalto.gov.br/ccivil_03/_ato2019-2022/2022/lei/L14382.htm" TargetMode="External"/><Relationship Id="rId43" Type="http://schemas.openxmlformats.org/officeDocument/2006/relationships/hyperlink" Target="https://www.planalto.gov.br/ccivil_03/constituicao/constituicao.htm" TargetMode="External"/><Relationship Id="rId48" Type="http://schemas.openxmlformats.org/officeDocument/2006/relationships/hyperlink" Target="https://antigo.agu.gov.br/page/atos/detalhe/idato/1778660" TargetMode="External"/><Relationship Id="rId8" Type="http://schemas.openxmlformats.org/officeDocument/2006/relationships/hyperlink" Target="https://sapiens.agu.gov.br/valida_publico?id=627431320" TargetMode="External"/><Relationship Id="rId51" Type="http://schemas.openxmlformats.org/officeDocument/2006/relationships/hyperlink" Target="https://www.gov.br/compras/pt-br/acesso-a-informacao/legislacao/instrucoes-normativas/instrucao-normativa-seges-me-no-81-de-25-de-novembro-de-2022" TargetMode="External"/><Relationship Id="rId3" Type="http://schemas.openxmlformats.org/officeDocument/2006/relationships/hyperlink" Target="https://www.gov.br/agu/pt-br/composicao/cgu/cgu/guias/gncs_082022.pdf" TargetMode="External"/><Relationship Id="rId12" Type="http://schemas.openxmlformats.org/officeDocument/2006/relationships/hyperlink" Target="https://www.planalto.gov.br/ccivil_03/_ato2007-2010/2010/lei/l12305.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7-de-4-de-novembro-de-2022" TargetMode="External"/><Relationship Id="rId33" Type="http://schemas.openxmlformats.org/officeDocument/2006/relationships/hyperlink" Target="https://www.planalto.gov.br/ccivil_03/_ato2019-2022/2022/decreto/d10977.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hyperlink" Target="mailto:cgu.modeloscontratacao@agu.gov.br" TargetMode="External"/><Relationship Id="rId6" Type="http://schemas.openxmlformats.org/officeDocument/2006/relationships/hyperlink" Target="https://www.gov.br/compras/pt-br/acesso-a-informacao/legislacao/portarias/portaria-seges-me-no-8-678-de-19-de-julho-de-2021" TargetMode="External"/></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no-53-de-8-de-julho-de-2020" TargetMode="External"/><Relationship Id="rId42" Type="http://schemas.openxmlformats.org/officeDocument/2006/relationships/hyperlink" Target="https://www.gov.br/compras/pt-br/acesso-a-informacao/legislacao/instrucoes-normativas/instrucao-normativa-seges-me-no-116-de-21-de-dezembro-de-2021" TargetMode="External"/><Relationship Id="rId47" Type="http://schemas.openxmlformats.org/officeDocument/2006/relationships/hyperlink" Target="https://www.planalto.gov.br/ccivil_03/leis/l5764.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in.gov.br/en/web/dou/-/instrucao-normativa-seges/me-n-77-de-4-de-novembro-de-2022-441681061"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s://www.planalto.gov.br/ccivil_03/_ato2019-2022/2021/decreto/d10880.htm" TargetMode="External"/><Relationship Id="rId45" Type="http://schemas.openxmlformats.org/officeDocument/2006/relationships/hyperlink" Target="https://www.planalto.gov.br/ccivil_03/leis/l5764.htm"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AGU/Pareceres/2019-2022/PRC-JL-01-2020.htm"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576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planalto.gov.br/ccivil_03/leis/l576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trabalho-e-previdencia/pt-br/servicos/empregador/programa-de-alimentacao-do-trabalhador-pat/arquivos-legislacao/instrucoes-normativas/pat_in_971_2009.pdf"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2.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8092</Words>
  <Characters>43697</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2023-12-21T22:05:00Z</dcterms:created>
  <dcterms:modified xsi:type="dcterms:W3CDTF">2024-05-21T12:53:00Z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